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210" w:line="378" w:lineRule="atLeas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山西三晋报刊传媒集团有限责任公司</w:t>
      </w:r>
    </w:p>
    <w:p>
      <w:pPr>
        <w:pStyle w:val="2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2021年1—6月财务等重大信息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一、企业基本情况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中文名称：山西三晋报刊传媒集团有限责任公司  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简称：三晋报刊传媒集团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英文名称：Shanxi Sanjin Press Media Group Co.,Ltd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缩写：SPMG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法定代表人：李永明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股东名称：山西出版传媒集团有限责任公司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注册地址：太原市柳巷南路云路街2号 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办公地址：太原市柳巷南路云路街2号  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邮政编码：030000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网    址： </w:t>
      </w:r>
      <w:r>
        <w:fldChar w:fldCharType="begin"/>
      </w:r>
      <w:r>
        <w:instrText xml:space="preserve"> HYPERLINK "http://www.sanjinmedia.com" </w:instrText>
      </w:r>
      <w:r>
        <w:fldChar w:fldCharType="separate"/>
      </w:r>
      <w:r>
        <w:rPr>
          <w:rStyle w:val="9"/>
          <w:rFonts w:hint="eastAsia"/>
          <w:sz w:val="28"/>
          <w:szCs w:val="28"/>
        </w:rPr>
        <w:t>www.sanjinmedia.com</w:t>
      </w:r>
      <w:r>
        <w:rPr>
          <w:rStyle w:val="9"/>
          <w:rFonts w:hint="eastAsia"/>
          <w:sz w:val="28"/>
          <w:szCs w:val="28"/>
        </w:rPr>
        <w:fldChar w:fldCharType="end"/>
      </w:r>
    </w:p>
    <w:p>
      <w:pPr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经营范围：对所属子公司进行投资管理；广告制作、代理、发布；图文设计及制作；计算机软硬件开发及销售；会议展览服务 ；企业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形象策划；市场营销策划；动漫设计文化艺术交流活动策划。广播电视节目制作经营；经营电视专题、电视综艺、动画故事节目。</w:t>
      </w:r>
    </w:p>
    <w:p>
      <w:pPr>
        <w:pStyle w:val="5"/>
        <w:shd w:val="clear" w:color="auto" w:fill="FFFFFF"/>
        <w:spacing w:before="210" w:beforeAutospacing="0" w:after="0" w:afterAutospacing="0" w:line="480" w:lineRule="auto"/>
        <w:ind w:firstLine="420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210" w:beforeAutospacing="0" w:after="0" w:afterAutospacing="0" w:line="48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单位简介：山西三晋报刊传媒集团有限责任公司成立于</w:t>
      </w:r>
      <w:r>
        <w:rPr>
          <w:color w:val="000000"/>
          <w:sz w:val="28"/>
          <w:szCs w:val="28"/>
        </w:rPr>
        <w:t>2012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0月，其前身为山西出版传媒集团有限责任公司报刊中心，经济业务实行独立核算，下属16个独立核算单位。合并范围有16个单位，分别为山西三晋报刊传媒集团有限责任公司、《学习报》社有限责任公司、《老友导报》社有限责任公司、《当代金融家》杂志社有限责任公司、《名作欣赏》杂志社有限责任公司、《新作文》杂志社有限责任公司、《文化产业》杂志社有限责任公司、《销售与管理》杂志社有限责任公司、《教育》杂志社有限责任公司、《政府法制》杂志社有限责任公司、《中外童话故事》杂志社有限责任公司、《新课程》杂志社有限责任公司、《新晋商》杂志社有限责任公司、山西画报社有限责任公司、太原中智网络科技有限公司、山西同高教育科技有限公司。</w:t>
      </w:r>
    </w:p>
    <w:p>
      <w:pPr>
        <w:pStyle w:val="5"/>
        <w:shd w:val="clear" w:color="auto" w:fill="FFFFFF"/>
        <w:spacing w:before="210" w:beforeAutospacing="0" w:after="0" w:afterAutospacing="0" w:line="480" w:lineRule="auto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二、主要会计数据和财务指标</w:t>
      </w:r>
    </w:p>
    <w:p>
      <w:pPr>
        <w:pStyle w:val="5"/>
        <w:shd w:val="clear" w:color="auto" w:fill="FFFFFF"/>
        <w:spacing w:before="210" w:beforeAutospacing="0" w:after="0" w:afterAutospacing="0" w:line="480" w:lineRule="auto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2021年1</w:t>
      </w:r>
      <w:r>
        <w:rPr>
          <w:color w:val="000000"/>
          <w:sz w:val="28"/>
          <w:szCs w:val="28"/>
        </w:rPr>
        <w:t>—</w:t>
      </w:r>
      <w:r>
        <w:rPr>
          <w:rFonts w:hint="eastAsia"/>
          <w:color w:val="000000"/>
          <w:sz w:val="28"/>
          <w:szCs w:val="28"/>
        </w:rPr>
        <w:t>6月份主要财务数据如下表：</w:t>
      </w:r>
    </w:p>
    <w:p>
      <w:pPr>
        <w:pStyle w:val="5"/>
        <w:shd w:val="clear" w:color="auto" w:fill="FFFFFF"/>
        <w:spacing w:before="210" w:beforeAutospacing="0" w:after="0" w:afterAutospacing="0" w:line="480" w:lineRule="auto"/>
        <w:ind w:right="700" w:firstLine="548" w:firstLineChars="196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</w:t>
      </w:r>
    </w:p>
    <w:p>
      <w:pPr>
        <w:pStyle w:val="5"/>
        <w:shd w:val="clear" w:color="auto" w:fill="FFFFFF"/>
        <w:spacing w:before="210" w:beforeAutospacing="0" w:after="0" w:afterAutospacing="0" w:line="480" w:lineRule="auto"/>
        <w:ind w:right="700" w:firstLine="548" w:firstLineChars="196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单位：万元</w:t>
      </w:r>
    </w:p>
    <w:p>
      <w:pPr>
        <w:spacing w:line="360" w:lineRule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</w:t>
      </w:r>
    </w:p>
    <w:tbl>
      <w:tblPr>
        <w:tblStyle w:val="6"/>
        <w:tblW w:w="7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960"/>
        <w:gridCol w:w="19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年初余额</w:t>
            </w: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期末余额</w:t>
            </w:r>
          </w:p>
        </w:tc>
        <w:tc>
          <w:tcPr>
            <w:tcW w:w="1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变动比率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（万元）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（万元）</w:t>
            </w:r>
          </w:p>
        </w:tc>
        <w:tc>
          <w:tcPr>
            <w:tcW w:w="1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资产总额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9223.58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9328.81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应收账款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1704.69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-26.14%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存货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1157.52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1307.02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固定资产净值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370.41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320.45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-13.49%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负债总额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3016.64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3240.55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7.42%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应付账款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525.20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595.00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13.29%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应交税费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90.36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-129.89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-243.75%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所有者权益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6206.94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6088.25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累计完成</w:t>
            </w: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上年同期</w:t>
            </w:r>
          </w:p>
        </w:tc>
        <w:tc>
          <w:tcPr>
            <w:tcW w:w="1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变动比率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( 万元)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（万元）</w:t>
            </w:r>
          </w:p>
        </w:tc>
        <w:tc>
          <w:tcPr>
            <w:tcW w:w="1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营业收入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3523.18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2564.39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销售费用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1124.05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811.72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38.48%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管理费用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885.94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668.12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32.60%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财务费用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10.86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12.80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-15.16%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利润总额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-117.36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-301.92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61.13%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净利润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-118.72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-303.60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60.90%</w:t>
            </w:r>
          </w:p>
        </w:tc>
      </w:tr>
    </w:tbl>
    <w:p>
      <w:pPr>
        <w:spacing w:line="360" w:lineRule="auto"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pStyle w:val="5"/>
        <w:shd w:val="clear" w:color="auto" w:fill="FFFFFF"/>
        <w:spacing w:before="210" w:beforeAutospacing="0" w:after="0" w:afterAutospacing="0" w:line="480" w:lineRule="auto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三、企业控股股东及实际控制人发生变化的情况：</w:t>
      </w:r>
    </w:p>
    <w:p>
      <w:pPr>
        <w:pStyle w:val="5"/>
        <w:shd w:val="clear" w:color="auto" w:fill="FFFFFF"/>
        <w:spacing w:before="210" w:beforeAutospacing="0" w:after="0" w:afterAutospacing="0" w:line="480" w:lineRule="auto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2021年上半年我单位控股股东及实际控制人没有发生变化。</w:t>
      </w:r>
    </w:p>
    <w:p>
      <w:pPr>
        <w:pStyle w:val="5"/>
        <w:shd w:val="clear" w:color="auto" w:fill="FFFFFF"/>
        <w:spacing w:before="210" w:beforeAutospacing="0" w:after="0" w:afterAutospacing="0" w:line="480" w:lineRule="auto"/>
        <w:rPr>
          <w:b/>
          <w:color w:val="000000"/>
        </w:rPr>
      </w:pPr>
    </w:p>
    <w:p>
      <w:pPr>
        <w:pStyle w:val="5"/>
        <w:shd w:val="clear" w:color="auto" w:fill="FFFFFF"/>
        <w:spacing w:before="210" w:beforeAutospacing="0" w:after="0" w:afterAutospacing="0" w:line="480" w:lineRule="auto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四、财务预算执行情况</w:t>
      </w:r>
    </w:p>
    <w:p>
      <w:pPr>
        <w:pStyle w:val="5"/>
        <w:shd w:val="clear" w:color="auto" w:fill="FFFFFF"/>
        <w:spacing w:before="210" w:beforeAutospacing="0" w:after="0" w:afterAutospacing="0" w:line="378" w:lineRule="atLeast"/>
        <w:ind w:firstLine="4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山西三晋报刊传媒集团有限责任公司2021年全年预算营业收入8010万元，利润353万元。2021年1-6月实现收入2564.39万元，完成预算32.01%；实现利润-117.36万元，完成预算-33.25%。</w:t>
      </w:r>
    </w:p>
    <w:p>
      <w:pPr>
        <w:pStyle w:val="5"/>
        <w:shd w:val="clear" w:color="auto" w:fill="FFFFFF"/>
        <w:spacing w:before="210" w:beforeAutospacing="0" w:after="0" w:afterAutospacing="0" w:line="480" w:lineRule="auto"/>
        <w:ind w:firstLine="560" w:firstLineChars="200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210" w:beforeAutospacing="0" w:after="0" w:afterAutospacing="0" w:line="480" w:lineRule="auto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五、财务会计报告摘要</w:t>
      </w:r>
    </w:p>
    <w:p>
      <w:pPr>
        <w:pStyle w:val="5"/>
        <w:shd w:val="clear" w:color="auto" w:fill="FFFFFF"/>
        <w:spacing w:before="210" w:beforeAutospacing="0" w:after="0" w:afterAutospacing="0"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2021年6月底我单位没有聘请会计师事务所审计，没有形成财务会计报告。</w:t>
      </w:r>
    </w:p>
    <w:p>
      <w:pPr>
        <w:pStyle w:val="5"/>
        <w:shd w:val="clear" w:color="auto" w:fill="FFFFFF"/>
        <w:spacing w:before="210" w:beforeAutospacing="0" w:after="0" w:afterAutospacing="0" w:line="480" w:lineRule="auto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六、环境保护情况</w:t>
      </w:r>
    </w:p>
    <w:p>
      <w:pPr>
        <w:ind w:right="1000"/>
        <w:jc w:val="righ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山西三晋报刊传媒集团所涉行业不涉及节能降耗、矿山绿化、“三废”治理、环保设施、污染物排放等环境保护问题。</w:t>
      </w:r>
      <w:r>
        <w:rPr>
          <w:rFonts w:hint="eastAsia"/>
          <w:color w:val="000000"/>
          <w:sz w:val="28"/>
          <w:szCs w:val="28"/>
        </w:rPr>
        <w:br w:type="textWrapping"/>
      </w:r>
      <w:bookmarkStart w:id="0" w:name="_GoBack"/>
      <w:bookmarkEnd w:id="0"/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82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DCD"/>
    <w:rsid w:val="000028B5"/>
    <w:rsid w:val="00036F02"/>
    <w:rsid w:val="000B6DA5"/>
    <w:rsid w:val="000E61B0"/>
    <w:rsid w:val="00137B76"/>
    <w:rsid w:val="001669AF"/>
    <w:rsid w:val="001804BC"/>
    <w:rsid w:val="00183EE2"/>
    <w:rsid w:val="001E4E38"/>
    <w:rsid w:val="001E7DCD"/>
    <w:rsid w:val="0027757A"/>
    <w:rsid w:val="00296FE7"/>
    <w:rsid w:val="002A443F"/>
    <w:rsid w:val="002C0A73"/>
    <w:rsid w:val="002D0BF4"/>
    <w:rsid w:val="002E26FD"/>
    <w:rsid w:val="002F6EBF"/>
    <w:rsid w:val="00303DA0"/>
    <w:rsid w:val="00317214"/>
    <w:rsid w:val="00321B31"/>
    <w:rsid w:val="003372B5"/>
    <w:rsid w:val="003452CE"/>
    <w:rsid w:val="0035028C"/>
    <w:rsid w:val="00374ABB"/>
    <w:rsid w:val="003775E6"/>
    <w:rsid w:val="00390C2E"/>
    <w:rsid w:val="003F7957"/>
    <w:rsid w:val="00413BAC"/>
    <w:rsid w:val="00414DF6"/>
    <w:rsid w:val="00416538"/>
    <w:rsid w:val="00477AD2"/>
    <w:rsid w:val="00485932"/>
    <w:rsid w:val="00495962"/>
    <w:rsid w:val="004970E8"/>
    <w:rsid w:val="004C2CBF"/>
    <w:rsid w:val="004F6BDE"/>
    <w:rsid w:val="00511D96"/>
    <w:rsid w:val="00532D44"/>
    <w:rsid w:val="00557F44"/>
    <w:rsid w:val="00560374"/>
    <w:rsid w:val="005729CE"/>
    <w:rsid w:val="005854B6"/>
    <w:rsid w:val="005A133A"/>
    <w:rsid w:val="005D5097"/>
    <w:rsid w:val="0062417F"/>
    <w:rsid w:val="006276CF"/>
    <w:rsid w:val="00682B45"/>
    <w:rsid w:val="006B2B06"/>
    <w:rsid w:val="006E1FBA"/>
    <w:rsid w:val="006E6E01"/>
    <w:rsid w:val="006F7A39"/>
    <w:rsid w:val="00717BC9"/>
    <w:rsid w:val="007214E4"/>
    <w:rsid w:val="00722C80"/>
    <w:rsid w:val="00722CCD"/>
    <w:rsid w:val="00731223"/>
    <w:rsid w:val="00754E8A"/>
    <w:rsid w:val="0077038C"/>
    <w:rsid w:val="007A3EC9"/>
    <w:rsid w:val="007A6FA7"/>
    <w:rsid w:val="007B1B5C"/>
    <w:rsid w:val="007E0237"/>
    <w:rsid w:val="0080328D"/>
    <w:rsid w:val="00806513"/>
    <w:rsid w:val="00833E0B"/>
    <w:rsid w:val="00894FB3"/>
    <w:rsid w:val="008F6A4E"/>
    <w:rsid w:val="00953DE2"/>
    <w:rsid w:val="00991700"/>
    <w:rsid w:val="009E40AE"/>
    <w:rsid w:val="00A058B5"/>
    <w:rsid w:val="00A066FF"/>
    <w:rsid w:val="00A10357"/>
    <w:rsid w:val="00A133B3"/>
    <w:rsid w:val="00A8150A"/>
    <w:rsid w:val="00A85392"/>
    <w:rsid w:val="00A9281A"/>
    <w:rsid w:val="00A957E8"/>
    <w:rsid w:val="00AB5424"/>
    <w:rsid w:val="00AF2803"/>
    <w:rsid w:val="00AF7291"/>
    <w:rsid w:val="00B018FA"/>
    <w:rsid w:val="00B36A51"/>
    <w:rsid w:val="00B46F4C"/>
    <w:rsid w:val="00B55021"/>
    <w:rsid w:val="00B61BC4"/>
    <w:rsid w:val="00B75076"/>
    <w:rsid w:val="00B87BA8"/>
    <w:rsid w:val="00BB074A"/>
    <w:rsid w:val="00BF058F"/>
    <w:rsid w:val="00BF615A"/>
    <w:rsid w:val="00C006E1"/>
    <w:rsid w:val="00C05BB6"/>
    <w:rsid w:val="00C05F04"/>
    <w:rsid w:val="00C505C8"/>
    <w:rsid w:val="00C51CB0"/>
    <w:rsid w:val="00C54386"/>
    <w:rsid w:val="00C73CAD"/>
    <w:rsid w:val="00C922CA"/>
    <w:rsid w:val="00CC2068"/>
    <w:rsid w:val="00D17E92"/>
    <w:rsid w:val="00D82E45"/>
    <w:rsid w:val="00DA794A"/>
    <w:rsid w:val="00DB01BA"/>
    <w:rsid w:val="00DE066C"/>
    <w:rsid w:val="00DE0CB6"/>
    <w:rsid w:val="00DE1DC2"/>
    <w:rsid w:val="00DF0D7C"/>
    <w:rsid w:val="00DF50D1"/>
    <w:rsid w:val="00E17C08"/>
    <w:rsid w:val="00E21834"/>
    <w:rsid w:val="00E579C6"/>
    <w:rsid w:val="00E765BD"/>
    <w:rsid w:val="00E95584"/>
    <w:rsid w:val="00EB2016"/>
    <w:rsid w:val="00ED521A"/>
    <w:rsid w:val="00FA2AEB"/>
    <w:rsid w:val="00FB3322"/>
    <w:rsid w:val="00FC32DB"/>
    <w:rsid w:val="64D02181"/>
    <w:rsid w:val="697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7"/>
    <w:link w:val="2"/>
    <w:qFormat/>
    <w:uiPriority w:val="9"/>
    <w:rPr>
      <w:rFonts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2B146-657C-46B1-8041-AB88D10DF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山西临汾曼睿电脑公司</Company>
  <Pages>5</Pages>
  <Words>254</Words>
  <Characters>1450</Characters>
  <Lines>12</Lines>
  <Paragraphs>3</Paragraphs>
  <TotalTime>220</TotalTime>
  <ScaleCrop>false</ScaleCrop>
  <LinksUpToDate>false</LinksUpToDate>
  <CharactersWithSpaces>1701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2019-08-07T03:27:00Z</dcterms:created>
  <dc:creator>临汾曼睿科技</dc:creator>
  <cp:lastModifiedBy>阳光洒落</cp:lastModifiedBy>
  <cp:lastPrinted>2019-08-08T03:21:00Z</cp:lastPrinted>
  <dcterms:modified xsi:type="dcterms:W3CDTF">2021-08-26T02:49:14Z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6DFCE1C594AA4F5ABF5DE7396173DBB8</vt:lpwstr>
  </property>
</Properties>
</file>