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8" w:lineRule="atLeast"/>
        <w:jc w:val="center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山西省新闻出版纸张</w:t>
      </w:r>
      <w:r>
        <w:rPr>
          <w:rFonts w:hint="eastAsia"/>
          <w:color w:val="000000"/>
          <w:sz w:val="27"/>
          <w:szCs w:val="27"/>
          <w:lang w:val="en-US" w:eastAsia="zh-CN"/>
        </w:rPr>
        <w:t>有限责任</w:t>
      </w:r>
      <w:r>
        <w:rPr>
          <w:rFonts w:hint="eastAsia"/>
          <w:color w:val="000000"/>
          <w:sz w:val="27"/>
          <w:szCs w:val="27"/>
        </w:rPr>
        <w:t>公司</w:t>
      </w:r>
    </w:p>
    <w:p>
      <w:pPr>
        <w:pStyle w:val="2"/>
        <w:spacing w:before="0" w:beforeAutospacing="0" w:after="0" w:afterAutospacing="0" w:line="408" w:lineRule="atLeast"/>
        <w:jc w:val="center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20</w:t>
      </w:r>
      <w:r>
        <w:rPr>
          <w:rFonts w:hint="eastAsia"/>
          <w:color w:val="000000"/>
          <w:sz w:val="27"/>
          <w:szCs w:val="27"/>
          <w:lang w:val="en-US" w:eastAsia="zh-CN"/>
        </w:rPr>
        <w:t>21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szCs w:val="27"/>
          <w:lang w:val="en-US" w:eastAsia="zh-CN"/>
        </w:rPr>
        <w:t>中期</w:t>
      </w:r>
      <w:r>
        <w:rPr>
          <w:rFonts w:hint="eastAsia"/>
          <w:color w:val="000000"/>
          <w:sz w:val="27"/>
          <w:szCs w:val="27"/>
        </w:rPr>
        <w:t>财务等重大信息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Style w:val="9"/>
          <w:rFonts w:hint="eastAsia"/>
          <w:color w:val="000000"/>
          <w:sz w:val="24"/>
          <w:szCs w:val="24"/>
        </w:rPr>
        <w:t>一、企业基本情况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中文名称：山西省新闻出版纸张</w:t>
      </w:r>
      <w:r>
        <w:rPr>
          <w:rFonts w:hint="eastAsia"/>
          <w:color w:val="000000"/>
          <w:sz w:val="24"/>
          <w:szCs w:val="24"/>
          <w:lang w:val="en-US" w:eastAsia="zh-CN"/>
        </w:rPr>
        <w:t>有限责任</w:t>
      </w:r>
      <w:r>
        <w:rPr>
          <w:rFonts w:hint="eastAsia"/>
          <w:color w:val="000000"/>
          <w:sz w:val="24"/>
          <w:szCs w:val="24"/>
        </w:rPr>
        <w:t>公司 简称：山西纸业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英文名称：</w:t>
      </w:r>
      <w:r>
        <w:rPr>
          <w:color w:val="000000"/>
          <w:sz w:val="24"/>
          <w:szCs w:val="24"/>
        </w:rPr>
        <w:t>Shanxi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Press &amp; Publication </w:t>
      </w:r>
      <w:r>
        <w:rPr>
          <w:color w:val="000000"/>
          <w:sz w:val="24"/>
          <w:szCs w:val="24"/>
        </w:rPr>
        <w:t>Paper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Co.,LTD.</w:t>
      </w:r>
      <w:r>
        <w:rPr>
          <w:rFonts w:hint="eastAsia"/>
          <w:color w:val="000000"/>
          <w:sz w:val="24"/>
          <w:szCs w:val="24"/>
        </w:rPr>
        <w:t> 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缩写：</w:t>
      </w:r>
      <w:r>
        <w:rPr>
          <w:color w:val="000000"/>
          <w:sz w:val="24"/>
          <w:szCs w:val="24"/>
        </w:rPr>
        <w:t>s</w:t>
      </w:r>
      <w:r>
        <w:rPr>
          <w:rFonts w:hint="eastAsia"/>
          <w:color w:val="000000"/>
          <w:sz w:val="24"/>
          <w:szCs w:val="24"/>
          <w:lang w:val="en-US" w:eastAsia="zh-CN"/>
        </w:rPr>
        <w:t>p</w:t>
      </w:r>
      <w:r>
        <w:rPr>
          <w:color w:val="000000"/>
          <w:sz w:val="24"/>
          <w:szCs w:val="24"/>
        </w:rPr>
        <w:t>pp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240" w:firstLineChars="1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</w:rPr>
        <w:t>法定代表人：</w:t>
      </w:r>
      <w:r>
        <w:rPr>
          <w:rFonts w:hint="eastAsia"/>
          <w:color w:val="000000"/>
          <w:sz w:val="24"/>
          <w:szCs w:val="24"/>
          <w:lang w:val="en-US" w:eastAsia="zh-CN"/>
        </w:rPr>
        <w:t>吴罡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240" w:firstLineChars="100"/>
        <w:rPr>
          <w:rFonts w:hint="eastAsia"/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</w:rPr>
        <w:t>股东名称：</w:t>
      </w:r>
      <w:r>
        <w:rPr>
          <w:rFonts w:hint="eastAsia"/>
          <w:color w:val="000000"/>
          <w:sz w:val="24"/>
          <w:szCs w:val="24"/>
          <w:shd w:val="clear" w:color="auto" w:fill="FFFFFF"/>
        </w:rPr>
        <w:t>山西出版传媒集团有限责任公司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出资比例：100%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认缴注册资本：943.36万元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实缴注册资本：943.36万元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出资方式：以山西省人民政府所属14家国有企业2005年12月31日的实收资本作为注册资本。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出资时间：2006年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注册地址：太原市建设南路15号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办公地址：太原市建设南路15号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邮政编码：030001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网址：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"http://www.snpp.cn" </w:instrText>
      </w:r>
      <w:r>
        <w:rPr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www.snpp.cn</w:t>
      </w:r>
      <w:r>
        <w:rPr>
          <w:color w:val="000000"/>
          <w:sz w:val="24"/>
          <w:szCs w:val="24"/>
        </w:rPr>
        <w:fldChar w:fldCharType="end"/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电子信箱：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"mailto:sxzy@sxpmg.com" </w:instrText>
      </w:r>
      <w:r>
        <w:rPr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sxzy@sxpmg.com</w:t>
      </w:r>
      <w:r>
        <w:rPr>
          <w:color w:val="000000"/>
          <w:sz w:val="24"/>
          <w:szCs w:val="24"/>
        </w:rPr>
        <w:fldChar w:fldCharType="end"/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经营范围：纸张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出版印刷用的有关辅助材料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  <w:lang w:val="en-US" w:eastAsia="zh-CN"/>
        </w:rPr>
        <w:t>造纸原料、</w:t>
      </w:r>
      <w:r>
        <w:rPr>
          <w:rFonts w:hint="eastAsia"/>
          <w:color w:val="000000"/>
          <w:sz w:val="24"/>
          <w:szCs w:val="24"/>
        </w:rPr>
        <w:t>化工产品（除危险品）</w:t>
      </w:r>
      <w:r>
        <w:rPr>
          <w:rFonts w:hint="eastAsia"/>
          <w:color w:val="000000"/>
          <w:sz w:val="24"/>
          <w:szCs w:val="24"/>
          <w:lang w:val="en-US" w:eastAsia="zh-CN"/>
        </w:rPr>
        <w:t>及化肥的销售；</w:t>
      </w:r>
      <w:r>
        <w:rPr>
          <w:rFonts w:hint="eastAsia"/>
          <w:color w:val="000000"/>
          <w:sz w:val="24"/>
          <w:szCs w:val="24"/>
        </w:rPr>
        <w:t>自营或代理各类商品和技术的进出口；</w:t>
      </w:r>
      <w:r>
        <w:rPr>
          <w:rFonts w:hint="eastAsia"/>
          <w:color w:val="000000"/>
          <w:sz w:val="24"/>
          <w:szCs w:val="24"/>
          <w:lang w:val="en-US" w:eastAsia="zh-CN"/>
        </w:rPr>
        <w:t>会务服务。（依法须经批准的项目，经相关部门批准后方可开展经营活动）</w:t>
      </w:r>
    </w:p>
    <w:p>
      <w:pPr>
        <w:pStyle w:val="6"/>
        <w:shd w:val="clear" w:color="auto" w:fill="FFFFFF"/>
        <w:wordWrap w:val="0"/>
        <w:spacing w:before="190" w:beforeAutospacing="0" w:after="240" w:afterAutospacing="0" w:line="342" w:lineRule="atLeast"/>
        <w:ind w:firstLine="3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简介：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山西省新闻出版纸张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有限责任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公司成立于1992年9月23日，属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国有企业（2010年1月1日，由企业化管理事业单位转制为国有企业）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系山西出版传媒集团成员单位，是山西省规模最大、实力最强的纸张及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造纸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原材料销售专业化公司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/>
          <w:color w:val="000000"/>
          <w:sz w:val="24"/>
          <w:szCs w:val="24"/>
        </w:rPr>
        <w:t>公司主要经营国内外各类文化用纸、包装用纸、办公用纸、生活用纸、出版印刷的辅助材料、造纸原料、化工产品等。业务辐射华北、华南、江浙等地，为我省实力最强、规模最大的纸张及造纸原材料专业化销售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/>
          <w:color w:val="000000"/>
          <w:sz w:val="24"/>
          <w:szCs w:val="24"/>
        </w:rPr>
        <w:t>多年来，公司坚持“开拓进取、追求卓越、超越自我”的企业精神，充分发挥规模优势、仓储优势、资金优势和专业优势，为确保全省中小学教材“课前到书、人手一册”政治任务的圆满完成和晋版图书用纸、促进山西出版产业繁荣发展做出了积极贡献。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pStyle w:val="6"/>
        <w:numPr>
          <w:ilvl w:val="0"/>
          <w:numId w:val="1"/>
        </w:numPr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Style w:val="9"/>
          <w:rFonts w:hint="eastAsia"/>
          <w:color w:val="000000"/>
          <w:sz w:val="24"/>
          <w:szCs w:val="24"/>
        </w:rPr>
      </w:pPr>
      <w:r>
        <w:rPr>
          <w:rStyle w:val="9"/>
          <w:rFonts w:hint="eastAsia"/>
          <w:color w:val="000000"/>
          <w:sz w:val="24"/>
          <w:szCs w:val="24"/>
        </w:rPr>
        <w:t>主要会计数据和财务指标</w:t>
      </w:r>
    </w:p>
    <w:tbl>
      <w:tblPr>
        <w:tblStyle w:val="7"/>
        <w:tblW w:w="8083" w:type="dxa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270"/>
        <w:gridCol w:w="2313"/>
        <w:gridCol w:w="18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项  目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累计完成（万元）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去年同期（万元）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变动比率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278.83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10,988.37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11.74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销售费用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227.75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201.05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13.28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管理费用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391.79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281.29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39.28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财务费用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142.69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132.95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7.33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25.37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119.04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-78.69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净利润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-68.72</w:t>
            </w:r>
          </w:p>
        </w:tc>
        <w:tc>
          <w:tcPr>
            <w:tcW w:w="2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112.82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-160.91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%</w:t>
            </w:r>
          </w:p>
        </w:tc>
      </w:tr>
    </w:tbl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jc w:val="center"/>
        <w:rPr>
          <w:color w:val="000000"/>
          <w:sz w:val="24"/>
          <w:szCs w:val="24"/>
        </w:rPr>
      </w:pPr>
    </w:p>
    <w:tbl>
      <w:tblPr>
        <w:tblStyle w:val="7"/>
        <w:tblW w:w="8063" w:type="dxa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2"/>
        <w:gridCol w:w="2062"/>
        <w:gridCol w:w="2104"/>
        <w:gridCol w:w="1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  项    目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年初余额(万元)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期末余额(万元)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变动比率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15,543.46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229.51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23.71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  应收账款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4,408.63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206.0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63.45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  存货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3,547.77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716.60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61.13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  固定资产净值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213.68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174.17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-18.49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负债总额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23,361.40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116.18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16.07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  应付账款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6,875.37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131.0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3.72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    应交税费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-262.97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-140.73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46.48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所有者权益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-7,817.95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 w:firstLineChars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886.6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atLeast"/>
              <w:ind w:firstLine="3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-0.88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%</w:t>
            </w:r>
          </w:p>
        </w:tc>
      </w:tr>
    </w:tbl>
    <w:p>
      <w:pPr>
        <w:pStyle w:val="6"/>
        <w:numPr>
          <w:ilvl w:val="0"/>
          <w:numId w:val="2"/>
        </w:numPr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Style w:val="9"/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Style w:val="9"/>
          <w:rFonts w:hint="eastAsia"/>
          <w:color w:val="auto"/>
          <w:sz w:val="24"/>
          <w:szCs w:val="24"/>
          <w:highlight w:val="none"/>
          <w:lang w:val="en-US" w:eastAsia="zh-CN"/>
        </w:rPr>
        <w:t>控股股东及实际控制人变更情况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我公司控股股东及实际控制人为</w:t>
      </w:r>
      <w:r>
        <w:rPr>
          <w:rFonts w:hint="eastAsia"/>
          <w:color w:val="000000"/>
          <w:sz w:val="24"/>
          <w:szCs w:val="24"/>
          <w:shd w:val="clear" w:color="auto" w:fill="FFFFFF"/>
        </w:rPr>
        <w:t>山西出版传媒集团有限责任公司</w:t>
      </w:r>
      <w:r>
        <w:rPr>
          <w:rFonts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报告期内我公司控股股东及实际控制人无变化。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default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6"/>
        <w:numPr>
          <w:ilvl w:val="0"/>
          <w:numId w:val="2"/>
        </w:numPr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b/>
          <w:bCs/>
          <w:color w:val="auto"/>
          <w:sz w:val="24"/>
          <w:szCs w:val="24"/>
          <w:highlight w:val="none"/>
        </w:rPr>
      </w:pPr>
      <w:r>
        <w:rPr>
          <w:rStyle w:val="9"/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财务</w:t>
      </w:r>
      <w:r>
        <w:rPr>
          <w:rStyle w:val="9"/>
          <w:rFonts w:hint="eastAsia"/>
          <w:b/>
          <w:bCs/>
          <w:color w:val="auto"/>
          <w:sz w:val="24"/>
          <w:szCs w:val="24"/>
          <w:highlight w:val="none"/>
        </w:rPr>
        <w:t>预算执行情况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我</w:t>
      </w:r>
      <w:r>
        <w:rPr>
          <w:rFonts w:hint="eastAsia"/>
          <w:color w:val="000000"/>
          <w:sz w:val="24"/>
          <w:szCs w:val="24"/>
        </w:rPr>
        <w:t>公司20</w:t>
      </w:r>
      <w:r>
        <w:rPr>
          <w:rFonts w:hint="eastAsia"/>
          <w:color w:val="000000"/>
          <w:sz w:val="24"/>
          <w:szCs w:val="24"/>
          <w:lang w:val="en-US" w:eastAsia="zh-CN"/>
        </w:rPr>
        <w:t>21</w:t>
      </w:r>
      <w:r>
        <w:rPr>
          <w:rFonts w:hint="eastAsia"/>
          <w:color w:val="000000"/>
          <w:sz w:val="24"/>
          <w:szCs w:val="24"/>
        </w:rPr>
        <w:t>年全年</w:t>
      </w:r>
      <w:r>
        <w:rPr>
          <w:rFonts w:hint="eastAsia"/>
          <w:color w:val="000000"/>
          <w:sz w:val="24"/>
          <w:szCs w:val="24"/>
          <w:lang w:val="en-US" w:eastAsia="zh-CN"/>
        </w:rPr>
        <w:t>绩效考核目标</w:t>
      </w:r>
      <w:r>
        <w:rPr>
          <w:rFonts w:hint="eastAsia"/>
          <w:color w:val="000000"/>
          <w:sz w:val="24"/>
          <w:szCs w:val="24"/>
        </w:rPr>
        <w:t>收</w:t>
      </w:r>
      <w:r>
        <w:rPr>
          <w:rFonts w:hint="eastAsia"/>
          <w:color w:val="auto"/>
          <w:sz w:val="24"/>
          <w:szCs w:val="24"/>
          <w:highlight w:val="none"/>
        </w:rPr>
        <w:t>入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2.39</w:t>
      </w:r>
      <w:r>
        <w:rPr>
          <w:rFonts w:hint="eastAsia"/>
          <w:color w:val="000000"/>
          <w:sz w:val="24"/>
          <w:szCs w:val="24"/>
          <w:highlight w:val="none"/>
        </w:rPr>
        <w:t>亿元，</w:t>
      </w:r>
      <w:r>
        <w:rPr>
          <w:rFonts w:hint="eastAsia"/>
          <w:color w:val="000000"/>
          <w:sz w:val="24"/>
          <w:szCs w:val="24"/>
        </w:rPr>
        <w:t>利润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/>
          <w:color w:val="000000"/>
          <w:sz w:val="24"/>
          <w:szCs w:val="24"/>
        </w:rPr>
        <w:t>万元。20</w:t>
      </w:r>
      <w:r>
        <w:rPr>
          <w:rFonts w:hint="eastAsia"/>
          <w:color w:val="000000"/>
          <w:sz w:val="24"/>
          <w:szCs w:val="24"/>
          <w:lang w:val="en-US" w:eastAsia="zh-CN"/>
        </w:rPr>
        <w:t>21</w:t>
      </w:r>
      <w:r>
        <w:rPr>
          <w:rFonts w:hint="eastAsia"/>
          <w:color w:val="000000"/>
          <w:sz w:val="24"/>
          <w:szCs w:val="24"/>
        </w:rPr>
        <w:t>年1-</w:t>
      </w:r>
      <w:r>
        <w:rPr>
          <w:rFonts w:hint="eastAsia"/>
          <w:color w:val="000000"/>
          <w:sz w:val="24"/>
          <w:szCs w:val="24"/>
          <w:lang w:val="en-US" w:eastAsia="zh-CN"/>
        </w:rPr>
        <w:t>6</w:t>
      </w:r>
      <w:r>
        <w:rPr>
          <w:rFonts w:hint="eastAsia"/>
          <w:color w:val="000000"/>
          <w:sz w:val="24"/>
          <w:szCs w:val="24"/>
        </w:rPr>
        <w:t>月实现营业收入</w:t>
      </w:r>
      <w:r>
        <w:rPr>
          <w:rFonts w:hint="eastAsia"/>
          <w:color w:val="000000"/>
          <w:sz w:val="24"/>
          <w:szCs w:val="24"/>
          <w:lang w:val="en-US" w:eastAsia="zh-CN"/>
        </w:rPr>
        <w:t>1.23</w:t>
      </w:r>
      <w:r>
        <w:rPr>
          <w:rFonts w:hint="eastAsia"/>
          <w:color w:val="000000"/>
          <w:sz w:val="24"/>
          <w:szCs w:val="24"/>
        </w:rPr>
        <w:t>亿元，完成</w:t>
      </w:r>
      <w:r>
        <w:rPr>
          <w:rFonts w:hint="eastAsia"/>
          <w:color w:val="000000"/>
          <w:sz w:val="24"/>
          <w:szCs w:val="24"/>
          <w:lang w:val="en-US" w:eastAsia="zh-CN"/>
        </w:rPr>
        <w:t>目标</w:t>
      </w:r>
      <w:r>
        <w:rPr>
          <w:rFonts w:hint="eastAsia"/>
          <w:color w:val="auto"/>
          <w:sz w:val="24"/>
          <w:szCs w:val="24"/>
        </w:rPr>
        <w:t>的</w:t>
      </w:r>
      <w:r>
        <w:rPr>
          <w:rFonts w:hint="eastAsia"/>
          <w:color w:val="auto"/>
          <w:sz w:val="24"/>
          <w:szCs w:val="24"/>
          <w:lang w:val="en-US" w:eastAsia="zh-CN"/>
        </w:rPr>
        <w:t>51.46</w:t>
      </w:r>
      <w:r>
        <w:rPr>
          <w:rFonts w:hint="eastAsia"/>
          <w:color w:val="000000"/>
          <w:sz w:val="24"/>
          <w:szCs w:val="24"/>
        </w:rPr>
        <w:t>%；实现利润</w:t>
      </w:r>
      <w:r>
        <w:rPr>
          <w:rFonts w:hint="eastAsia"/>
          <w:color w:val="000000"/>
          <w:sz w:val="24"/>
          <w:szCs w:val="24"/>
          <w:lang w:val="en-US" w:eastAsia="zh-CN"/>
        </w:rPr>
        <w:t>总额25.37</w:t>
      </w:r>
      <w:r>
        <w:rPr>
          <w:rFonts w:hint="eastAsia"/>
          <w:color w:val="000000"/>
          <w:sz w:val="24"/>
          <w:szCs w:val="24"/>
        </w:rPr>
        <w:t>万元，完成</w:t>
      </w:r>
      <w:r>
        <w:rPr>
          <w:rFonts w:hint="eastAsia"/>
          <w:color w:val="000000"/>
          <w:sz w:val="24"/>
          <w:szCs w:val="24"/>
          <w:lang w:val="en-US" w:eastAsia="zh-CN"/>
        </w:rPr>
        <w:t>目标</w:t>
      </w:r>
      <w:r>
        <w:rPr>
          <w:rFonts w:hint="eastAsia"/>
          <w:color w:val="000000"/>
          <w:sz w:val="24"/>
          <w:szCs w:val="24"/>
        </w:rPr>
        <w:t>的</w:t>
      </w:r>
      <w:r>
        <w:rPr>
          <w:rFonts w:hint="eastAsia"/>
          <w:color w:val="000000"/>
          <w:sz w:val="24"/>
          <w:szCs w:val="24"/>
          <w:lang w:val="en-US" w:eastAsia="zh-CN"/>
        </w:rPr>
        <w:t>317.13</w:t>
      </w:r>
      <w:r>
        <w:rPr>
          <w:rFonts w:hint="eastAsia"/>
          <w:color w:val="auto"/>
          <w:sz w:val="24"/>
          <w:szCs w:val="24"/>
        </w:rPr>
        <w:t>%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eastAsia="仿宋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eastAsia="仿宋"/>
          <w:color w:val="000000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2"/>
        </w:numPr>
        <w:shd w:val="clear" w:color="auto" w:fill="FFFFFF"/>
        <w:wordWrap w:val="0"/>
        <w:spacing w:before="190" w:beforeAutospacing="0" w:after="0" w:afterAutospacing="0" w:line="342" w:lineRule="atLeast"/>
        <w:ind w:left="0" w:leftChars="0" w:firstLine="380" w:firstLineChars="0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财务会计报告摘要</w:t>
      </w:r>
    </w:p>
    <w:p>
      <w:pPr>
        <w:pStyle w:val="6"/>
        <w:numPr>
          <w:ilvl w:val="0"/>
          <w:numId w:val="0"/>
        </w:numPr>
        <w:shd w:val="clear" w:color="auto" w:fill="FFFFFF"/>
        <w:wordWrap w:val="0"/>
        <w:spacing w:before="190" w:beforeAutospacing="0" w:after="0" w:afterAutospacing="0" w:line="342" w:lineRule="atLeast"/>
        <w:ind w:left="0" w:leftChars="0" w:firstLine="0" w:firstLineChars="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上半年公司实现营业总收入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278.83</w:t>
      </w:r>
      <w:r>
        <w:rPr>
          <w:rFonts w:hint="eastAsia"/>
          <w:color w:val="000000"/>
          <w:sz w:val="24"/>
          <w:szCs w:val="24"/>
          <w:lang w:val="en-US" w:eastAsia="zh-CN"/>
        </w:rPr>
        <w:t>万元，同比增加1,290.46万元，增幅11.74%；实现净利润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-68.72</w:t>
      </w:r>
      <w:r>
        <w:rPr>
          <w:rFonts w:hint="eastAsia"/>
          <w:color w:val="000000"/>
          <w:sz w:val="24"/>
          <w:szCs w:val="24"/>
          <w:lang w:val="en-US" w:eastAsia="zh-CN"/>
        </w:rPr>
        <w:t>万元，同比减少181.54万元。发生三项费用总计共762.23</w:t>
      </w:r>
      <w:r>
        <w:rPr>
          <w:rFonts w:hint="eastAsia"/>
          <w:color w:val="auto"/>
          <w:sz w:val="24"/>
          <w:szCs w:val="24"/>
          <w:lang w:val="en-US" w:eastAsia="zh-CN"/>
        </w:rPr>
        <w:t>万</w:t>
      </w:r>
      <w:r>
        <w:rPr>
          <w:rFonts w:hint="eastAsia"/>
          <w:color w:val="000000"/>
          <w:sz w:val="24"/>
          <w:szCs w:val="24"/>
          <w:lang w:val="en-US" w:eastAsia="zh-CN"/>
        </w:rPr>
        <w:t>元，其中管理费用发生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391.79</w:t>
      </w:r>
      <w:r>
        <w:rPr>
          <w:rFonts w:hint="eastAsia"/>
          <w:color w:val="000000"/>
          <w:sz w:val="24"/>
          <w:szCs w:val="24"/>
          <w:lang w:val="en-US" w:eastAsia="zh-CN"/>
        </w:rPr>
        <w:t>万元，同比增加了110.50万元，增幅达39.28%；销售费用发生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227.75</w:t>
      </w:r>
      <w:r>
        <w:rPr>
          <w:rFonts w:hint="eastAsia"/>
          <w:color w:val="000000"/>
          <w:sz w:val="24"/>
          <w:szCs w:val="24"/>
          <w:lang w:val="en-US" w:eastAsia="zh-CN"/>
        </w:rPr>
        <w:t>万元，同比增加26.70万元，增幅13.28%；财务费用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142.69</w:t>
      </w:r>
      <w:r>
        <w:rPr>
          <w:rFonts w:hint="eastAsia"/>
          <w:color w:val="000000"/>
          <w:sz w:val="24"/>
          <w:szCs w:val="24"/>
          <w:lang w:val="en-US" w:eastAsia="zh-CN"/>
        </w:rPr>
        <w:t>万元，同比增加9.74万元。</w:t>
      </w:r>
    </w:p>
    <w:p>
      <w:pPr>
        <w:pStyle w:val="6"/>
        <w:numPr>
          <w:ilvl w:val="0"/>
          <w:numId w:val="0"/>
        </w:numPr>
        <w:shd w:val="clear" w:color="auto" w:fill="FFFFFF"/>
        <w:wordWrap w:val="0"/>
        <w:spacing w:before="190" w:beforeAutospacing="0" w:after="0" w:afterAutospacing="0" w:line="342" w:lineRule="atLeast"/>
        <w:ind w:left="0" w:leftChars="0" w:firstLine="0" w:firstLineChars="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截至2021年6月,公司资产总计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229.51</w:t>
      </w:r>
      <w:r>
        <w:rPr>
          <w:rFonts w:hint="eastAsia"/>
          <w:color w:val="000000"/>
          <w:sz w:val="24"/>
          <w:szCs w:val="24"/>
          <w:lang w:val="en-US" w:eastAsia="zh-CN"/>
        </w:rPr>
        <w:t>万元，比年初增加3,686.05万元，增幅23.71%，其中应收账款期末余额为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206.0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/>
          <w:color w:val="000000"/>
          <w:sz w:val="24"/>
          <w:szCs w:val="24"/>
          <w:lang w:val="en-US" w:eastAsia="zh-CN"/>
        </w:rPr>
        <w:t>万元。负债总额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116.18</w:t>
      </w:r>
      <w:r>
        <w:rPr>
          <w:rFonts w:hint="eastAsia"/>
          <w:color w:val="000000"/>
          <w:sz w:val="24"/>
          <w:szCs w:val="24"/>
          <w:lang w:val="en-US" w:eastAsia="zh-CN"/>
        </w:rPr>
        <w:t>万元，比年初增加3,754.78万元，增幅16.07%。应付账款期末余额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131.0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/>
          <w:color w:val="000000"/>
          <w:sz w:val="24"/>
          <w:szCs w:val="24"/>
          <w:lang w:val="en-US" w:eastAsia="zh-CN"/>
        </w:rPr>
        <w:t>万元。所有者权益总额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-7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,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886.6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color w:val="000000"/>
          <w:sz w:val="24"/>
          <w:szCs w:val="24"/>
          <w:lang w:val="en-US" w:eastAsia="zh-CN"/>
        </w:rPr>
        <w:t>万元，比2021年年初减少了68.72万元，减幅达0.88%。</w:t>
      </w:r>
    </w:p>
    <w:p>
      <w:pPr>
        <w:pStyle w:val="6"/>
        <w:numPr>
          <w:ilvl w:val="0"/>
          <w:numId w:val="0"/>
        </w:numPr>
        <w:shd w:val="clear" w:color="auto" w:fill="FFFFFF"/>
        <w:wordWrap w:val="0"/>
        <w:spacing w:before="190" w:beforeAutospacing="0" w:after="0" w:afterAutospacing="0" w:line="342" w:lineRule="atLeast"/>
        <w:ind w:left="0" w:leftChars="0" w:firstLine="0" w:firstLineChars="0"/>
        <w:rPr>
          <w:rFonts w:hint="default"/>
          <w:color w:val="000000"/>
          <w:sz w:val="24"/>
          <w:szCs w:val="24"/>
          <w:lang w:val="en-US" w:eastAsia="zh-CN"/>
        </w:rPr>
      </w:pP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24"/>
          <w:szCs w:val="24"/>
        </w:rPr>
      </w:pPr>
      <w:r>
        <w:rPr>
          <w:rStyle w:val="9"/>
          <w:rFonts w:hint="eastAsia"/>
          <w:color w:val="000000"/>
          <w:sz w:val="24"/>
          <w:szCs w:val="24"/>
          <w:lang w:val="en-US" w:eastAsia="zh-CN"/>
        </w:rPr>
        <w:t>六</w:t>
      </w:r>
      <w:r>
        <w:rPr>
          <w:rStyle w:val="9"/>
          <w:rFonts w:hint="eastAsia"/>
          <w:color w:val="000000"/>
          <w:sz w:val="24"/>
          <w:szCs w:val="24"/>
        </w:rPr>
        <w:t>、环境保护情况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公司所涉行业不涉及节能降耗、矿山绿化、“三废”治理、环保设施、污染物排放等环境保护问题。</w:t>
      </w:r>
    </w:p>
    <w:p>
      <w:pPr>
        <w:pStyle w:val="6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Fonts w:hint="eastAsia"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shd w:val="clear" w:color="auto" w:fill="FFFFFF"/>
        <w:wordWrap w:val="0"/>
        <w:spacing w:before="190" w:beforeAutospacing="0" w:after="0" w:afterAutospacing="0" w:line="342" w:lineRule="atLeast"/>
        <w:ind w:left="380" w:leftChars="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七、有关部门（机构）规定的其他事项</w:t>
      </w:r>
    </w:p>
    <w:p>
      <w:pPr>
        <w:pStyle w:val="6"/>
        <w:numPr>
          <w:ilvl w:val="0"/>
          <w:numId w:val="0"/>
        </w:numPr>
        <w:shd w:val="clear" w:color="auto" w:fill="FFFFFF"/>
        <w:wordWrap w:val="0"/>
        <w:spacing w:before="190" w:beforeAutospacing="0" w:after="0" w:afterAutospacing="0" w:line="342" w:lineRule="atLeast"/>
        <w:ind w:left="380" w:leftChars="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无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ind w:right="160" w:firstLine="480" w:firstLineChars="200"/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6B6051"/>
    <w:multiLevelType w:val="singleLevel"/>
    <w:tmpl w:val="B76B60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75BC0D"/>
    <w:multiLevelType w:val="singleLevel"/>
    <w:tmpl w:val="EC75BC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D7E"/>
    <w:rsid w:val="000959A2"/>
    <w:rsid w:val="000F6564"/>
    <w:rsid w:val="0013291C"/>
    <w:rsid w:val="0013334B"/>
    <w:rsid w:val="0015318D"/>
    <w:rsid w:val="001D4C04"/>
    <w:rsid w:val="001D7ACD"/>
    <w:rsid w:val="00210CF3"/>
    <w:rsid w:val="00227056"/>
    <w:rsid w:val="002460B6"/>
    <w:rsid w:val="0028374F"/>
    <w:rsid w:val="002A534B"/>
    <w:rsid w:val="002B4ED6"/>
    <w:rsid w:val="0034547B"/>
    <w:rsid w:val="00352A83"/>
    <w:rsid w:val="003A2925"/>
    <w:rsid w:val="003F6EC4"/>
    <w:rsid w:val="00456D62"/>
    <w:rsid w:val="00467675"/>
    <w:rsid w:val="00486228"/>
    <w:rsid w:val="00520F24"/>
    <w:rsid w:val="00572137"/>
    <w:rsid w:val="0057709B"/>
    <w:rsid w:val="005D60E9"/>
    <w:rsid w:val="0061499E"/>
    <w:rsid w:val="00643631"/>
    <w:rsid w:val="006F366D"/>
    <w:rsid w:val="006F7373"/>
    <w:rsid w:val="007E7C40"/>
    <w:rsid w:val="008149E7"/>
    <w:rsid w:val="00827B93"/>
    <w:rsid w:val="008427DD"/>
    <w:rsid w:val="00891235"/>
    <w:rsid w:val="008B2720"/>
    <w:rsid w:val="008C1D7E"/>
    <w:rsid w:val="008E5086"/>
    <w:rsid w:val="00927163"/>
    <w:rsid w:val="009374E5"/>
    <w:rsid w:val="00953350"/>
    <w:rsid w:val="009747CF"/>
    <w:rsid w:val="009818A1"/>
    <w:rsid w:val="00987FEE"/>
    <w:rsid w:val="009910E6"/>
    <w:rsid w:val="00993B69"/>
    <w:rsid w:val="00A87934"/>
    <w:rsid w:val="00A97861"/>
    <w:rsid w:val="00AC58F2"/>
    <w:rsid w:val="00AE1B77"/>
    <w:rsid w:val="00AF3E75"/>
    <w:rsid w:val="00AF7E7B"/>
    <w:rsid w:val="00B2698C"/>
    <w:rsid w:val="00B27DD6"/>
    <w:rsid w:val="00B7557E"/>
    <w:rsid w:val="00B94937"/>
    <w:rsid w:val="00B966E6"/>
    <w:rsid w:val="00BA2E5C"/>
    <w:rsid w:val="00C9488E"/>
    <w:rsid w:val="00CB3D74"/>
    <w:rsid w:val="00D33A67"/>
    <w:rsid w:val="00D534E5"/>
    <w:rsid w:val="00D53AFB"/>
    <w:rsid w:val="00D83ADA"/>
    <w:rsid w:val="00DF77D2"/>
    <w:rsid w:val="00E70C8B"/>
    <w:rsid w:val="00EC251F"/>
    <w:rsid w:val="00ED0D98"/>
    <w:rsid w:val="00F10500"/>
    <w:rsid w:val="00F542B7"/>
    <w:rsid w:val="00FF52CB"/>
    <w:rsid w:val="0104013D"/>
    <w:rsid w:val="015E32AB"/>
    <w:rsid w:val="016B34F5"/>
    <w:rsid w:val="01737C3D"/>
    <w:rsid w:val="018A2174"/>
    <w:rsid w:val="018A74CB"/>
    <w:rsid w:val="01972486"/>
    <w:rsid w:val="01B363AC"/>
    <w:rsid w:val="01B87346"/>
    <w:rsid w:val="01C83387"/>
    <w:rsid w:val="01F828A7"/>
    <w:rsid w:val="020712D1"/>
    <w:rsid w:val="020C5F8F"/>
    <w:rsid w:val="020D552C"/>
    <w:rsid w:val="021351CD"/>
    <w:rsid w:val="024A24B3"/>
    <w:rsid w:val="027574EA"/>
    <w:rsid w:val="0285661E"/>
    <w:rsid w:val="02A16997"/>
    <w:rsid w:val="02AA4C16"/>
    <w:rsid w:val="02CB08DF"/>
    <w:rsid w:val="03324C9C"/>
    <w:rsid w:val="033C2DE9"/>
    <w:rsid w:val="035920BA"/>
    <w:rsid w:val="036E117B"/>
    <w:rsid w:val="037952C9"/>
    <w:rsid w:val="039B1D80"/>
    <w:rsid w:val="03AD4ABB"/>
    <w:rsid w:val="03E74B30"/>
    <w:rsid w:val="04090BAF"/>
    <w:rsid w:val="041B06D8"/>
    <w:rsid w:val="041D19D7"/>
    <w:rsid w:val="04213DAB"/>
    <w:rsid w:val="042837C2"/>
    <w:rsid w:val="043345EE"/>
    <w:rsid w:val="049B47B5"/>
    <w:rsid w:val="04AB381F"/>
    <w:rsid w:val="05033875"/>
    <w:rsid w:val="050C72F7"/>
    <w:rsid w:val="0516705F"/>
    <w:rsid w:val="05320EEF"/>
    <w:rsid w:val="054E1361"/>
    <w:rsid w:val="0550541E"/>
    <w:rsid w:val="05665568"/>
    <w:rsid w:val="05730236"/>
    <w:rsid w:val="05EF7C11"/>
    <w:rsid w:val="06185BCA"/>
    <w:rsid w:val="061876FB"/>
    <w:rsid w:val="06235475"/>
    <w:rsid w:val="063B5A7C"/>
    <w:rsid w:val="064003B4"/>
    <w:rsid w:val="067672EB"/>
    <w:rsid w:val="067C1654"/>
    <w:rsid w:val="0696379A"/>
    <w:rsid w:val="06963F15"/>
    <w:rsid w:val="06A14ACB"/>
    <w:rsid w:val="06B0763A"/>
    <w:rsid w:val="06C9325B"/>
    <w:rsid w:val="06D42779"/>
    <w:rsid w:val="06D9519A"/>
    <w:rsid w:val="06DF3784"/>
    <w:rsid w:val="07094051"/>
    <w:rsid w:val="07340718"/>
    <w:rsid w:val="076F07E9"/>
    <w:rsid w:val="077004CC"/>
    <w:rsid w:val="077A7B3E"/>
    <w:rsid w:val="079C3A90"/>
    <w:rsid w:val="07A5397C"/>
    <w:rsid w:val="07BE7884"/>
    <w:rsid w:val="07C060B8"/>
    <w:rsid w:val="07C15BDD"/>
    <w:rsid w:val="07E649CA"/>
    <w:rsid w:val="07FE76E8"/>
    <w:rsid w:val="08041300"/>
    <w:rsid w:val="08481B6F"/>
    <w:rsid w:val="08717270"/>
    <w:rsid w:val="089A472A"/>
    <w:rsid w:val="08A5419D"/>
    <w:rsid w:val="08A97D23"/>
    <w:rsid w:val="08C45B5F"/>
    <w:rsid w:val="08CA1A5C"/>
    <w:rsid w:val="08D07ED1"/>
    <w:rsid w:val="08FF42F1"/>
    <w:rsid w:val="094E24F1"/>
    <w:rsid w:val="0966099A"/>
    <w:rsid w:val="09811815"/>
    <w:rsid w:val="098D674B"/>
    <w:rsid w:val="0999035C"/>
    <w:rsid w:val="09F12938"/>
    <w:rsid w:val="09F42308"/>
    <w:rsid w:val="09FC43A3"/>
    <w:rsid w:val="0A4554F6"/>
    <w:rsid w:val="0A5B7071"/>
    <w:rsid w:val="0A5C1B01"/>
    <w:rsid w:val="0AA5296C"/>
    <w:rsid w:val="0AAF06F4"/>
    <w:rsid w:val="0AB44DB6"/>
    <w:rsid w:val="0ACA586A"/>
    <w:rsid w:val="0AE8435A"/>
    <w:rsid w:val="0AEB17D3"/>
    <w:rsid w:val="0B086A32"/>
    <w:rsid w:val="0B173FC8"/>
    <w:rsid w:val="0B1763BB"/>
    <w:rsid w:val="0B44453C"/>
    <w:rsid w:val="0B8D0FA4"/>
    <w:rsid w:val="0B9D16FD"/>
    <w:rsid w:val="0BA751AB"/>
    <w:rsid w:val="0C1C0EED"/>
    <w:rsid w:val="0C20402C"/>
    <w:rsid w:val="0C89641D"/>
    <w:rsid w:val="0C8D7BC7"/>
    <w:rsid w:val="0CE801EC"/>
    <w:rsid w:val="0CF96842"/>
    <w:rsid w:val="0D0C6774"/>
    <w:rsid w:val="0D2853CF"/>
    <w:rsid w:val="0D5123ED"/>
    <w:rsid w:val="0D5504DA"/>
    <w:rsid w:val="0D6759AB"/>
    <w:rsid w:val="0D731DB9"/>
    <w:rsid w:val="0D8E42B1"/>
    <w:rsid w:val="0DA209EE"/>
    <w:rsid w:val="0DC21140"/>
    <w:rsid w:val="0DCE39A6"/>
    <w:rsid w:val="0DD85646"/>
    <w:rsid w:val="0DDA208D"/>
    <w:rsid w:val="0DF34E0C"/>
    <w:rsid w:val="0E016A08"/>
    <w:rsid w:val="0E1B0788"/>
    <w:rsid w:val="0E6C5596"/>
    <w:rsid w:val="0E7C6326"/>
    <w:rsid w:val="0E7D0E57"/>
    <w:rsid w:val="0EC01B78"/>
    <w:rsid w:val="0ED87410"/>
    <w:rsid w:val="0EFE2460"/>
    <w:rsid w:val="0F130BFE"/>
    <w:rsid w:val="0F1B66D0"/>
    <w:rsid w:val="0F25123C"/>
    <w:rsid w:val="0F427533"/>
    <w:rsid w:val="0F4960D8"/>
    <w:rsid w:val="0F8816C0"/>
    <w:rsid w:val="0FBC6195"/>
    <w:rsid w:val="0FDB2CFB"/>
    <w:rsid w:val="0FDD569E"/>
    <w:rsid w:val="10062D65"/>
    <w:rsid w:val="10340A89"/>
    <w:rsid w:val="104C31D2"/>
    <w:rsid w:val="10E33C48"/>
    <w:rsid w:val="10EC7723"/>
    <w:rsid w:val="11824F8A"/>
    <w:rsid w:val="11903F4F"/>
    <w:rsid w:val="11A2326A"/>
    <w:rsid w:val="121960DE"/>
    <w:rsid w:val="122B0703"/>
    <w:rsid w:val="124645B4"/>
    <w:rsid w:val="124E4833"/>
    <w:rsid w:val="12501A3D"/>
    <w:rsid w:val="12627FC1"/>
    <w:rsid w:val="12B21D21"/>
    <w:rsid w:val="12DF3E4B"/>
    <w:rsid w:val="12F54934"/>
    <w:rsid w:val="12FA18D6"/>
    <w:rsid w:val="132A25F0"/>
    <w:rsid w:val="136C5B52"/>
    <w:rsid w:val="139B7441"/>
    <w:rsid w:val="13A048AA"/>
    <w:rsid w:val="13D15D17"/>
    <w:rsid w:val="13F17FB8"/>
    <w:rsid w:val="13F447DE"/>
    <w:rsid w:val="1402203F"/>
    <w:rsid w:val="1447621F"/>
    <w:rsid w:val="146703F3"/>
    <w:rsid w:val="146F4CB5"/>
    <w:rsid w:val="147D059F"/>
    <w:rsid w:val="149966EE"/>
    <w:rsid w:val="14B23D7D"/>
    <w:rsid w:val="14C8419B"/>
    <w:rsid w:val="14D124B9"/>
    <w:rsid w:val="14D5098F"/>
    <w:rsid w:val="14EB1438"/>
    <w:rsid w:val="14F0186F"/>
    <w:rsid w:val="14F2545E"/>
    <w:rsid w:val="151179FE"/>
    <w:rsid w:val="15156EA6"/>
    <w:rsid w:val="151811AC"/>
    <w:rsid w:val="154C6CD4"/>
    <w:rsid w:val="15583C91"/>
    <w:rsid w:val="15611BFD"/>
    <w:rsid w:val="156920BB"/>
    <w:rsid w:val="15753B6B"/>
    <w:rsid w:val="15AE18F1"/>
    <w:rsid w:val="15CA239D"/>
    <w:rsid w:val="15D74D64"/>
    <w:rsid w:val="15FD1CE6"/>
    <w:rsid w:val="16026BFC"/>
    <w:rsid w:val="167474D6"/>
    <w:rsid w:val="167513A4"/>
    <w:rsid w:val="16806737"/>
    <w:rsid w:val="169E28F1"/>
    <w:rsid w:val="16C078CF"/>
    <w:rsid w:val="16DB42BB"/>
    <w:rsid w:val="16E5345C"/>
    <w:rsid w:val="16FC7E92"/>
    <w:rsid w:val="17381F80"/>
    <w:rsid w:val="176A2AAC"/>
    <w:rsid w:val="176F4398"/>
    <w:rsid w:val="177B795E"/>
    <w:rsid w:val="17AC0DF9"/>
    <w:rsid w:val="17CD5DFC"/>
    <w:rsid w:val="18955780"/>
    <w:rsid w:val="18AC401F"/>
    <w:rsid w:val="191223F0"/>
    <w:rsid w:val="19551FD1"/>
    <w:rsid w:val="196424B2"/>
    <w:rsid w:val="19665C5C"/>
    <w:rsid w:val="197770D6"/>
    <w:rsid w:val="19784F3F"/>
    <w:rsid w:val="19F51FF3"/>
    <w:rsid w:val="1A0A6E93"/>
    <w:rsid w:val="1A0D2E53"/>
    <w:rsid w:val="1A241823"/>
    <w:rsid w:val="1A2A4934"/>
    <w:rsid w:val="1A9E7032"/>
    <w:rsid w:val="1AA665F6"/>
    <w:rsid w:val="1AED5EC0"/>
    <w:rsid w:val="1B103773"/>
    <w:rsid w:val="1B286497"/>
    <w:rsid w:val="1BB6171D"/>
    <w:rsid w:val="1BB64595"/>
    <w:rsid w:val="1BD438AF"/>
    <w:rsid w:val="1BF27AFC"/>
    <w:rsid w:val="1BF6734B"/>
    <w:rsid w:val="1BF75149"/>
    <w:rsid w:val="1C0552AB"/>
    <w:rsid w:val="1C2D6BB2"/>
    <w:rsid w:val="1C9B665F"/>
    <w:rsid w:val="1C9F67AD"/>
    <w:rsid w:val="1D2F34B9"/>
    <w:rsid w:val="1D6D3B6D"/>
    <w:rsid w:val="1D8B47D3"/>
    <w:rsid w:val="1DD3601F"/>
    <w:rsid w:val="1DD81DA8"/>
    <w:rsid w:val="1DDF0DAC"/>
    <w:rsid w:val="1DE53573"/>
    <w:rsid w:val="1DED1372"/>
    <w:rsid w:val="1DF50F34"/>
    <w:rsid w:val="1E005131"/>
    <w:rsid w:val="1E1527DD"/>
    <w:rsid w:val="1E950FD4"/>
    <w:rsid w:val="1EFD6217"/>
    <w:rsid w:val="1F077AF9"/>
    <w:rsid w:val="1F280389"/>
    <w:rsid w:val="1F491F50"/>
    <w:rsid w:val="1F4C69EC"/>
    <w:rsid w:val="1F57085C"/>
    <w:rsid w:val="1F59343B"/>
    <w:rsid w:val="1F8246AD"/>
    <w:rsid w:val="1F955D8C"/>
    <w:rsid w:val="1F9C1C45"/>
    <w:rsid w:val="1FAA645D"/>
    <w:rsid w:val="1FC2186F"/>
    <w:rsid w:val="1FD06933"/>
    <w:rsid w:val="201629D7"/>
    <w:rsid w:val="20172407"/>
    <w:rsid w:val="2074001E"/>
    <w:rsid w:val="20AD1CDF"/>
    <w:rsid w:val="20D520B3"/>
    <w:rsid w:val="20EA2101"/>
    <w:rsid w:val="20F45369"/>
    <w:rsid w:val="20FF6FE1"/>
    <w:rsid w:val="213A0483"/>
    <w:rsid w:val="216706CA"/>
    <w:rsid w:val="218F6074"/>
    <w:rsid w:val="21916352"/>
    <w:rsid w:val="21A13C7E"/>
    <w:rsid w:val="21CF371F"/>
    <w:rsid w:val="21D65F89"/>
    <w:rsid w:val="21EC07F0"/>
    <w:rsid w:val="21F66F47"/>
    <w:rsid w:val="221D358E"/>
    <w:rsid w:val="22367EFB"/>
    <w:rsid w:val="223F267E"/>
    <w:rsid w:val="225F2EB6"/>
    <w:rsid w:val="2277112A"/>
    <w:rsid w:val="22A34470"/>
    <w:rsid w:val="22BE53A1"/>
    <w:rsid w:val="22E56B22"/>
    <w:rsid w:val="22EB3E31"/>
    <w:rsid w:val="22FE5191"/>
    <w:rsid w:val="231E1755"/>
    <w:rsid w:val="23403BEE"/>
    <w:rsid w:val="23870814"/>
    <w:rsid w:val="238C787C"/>
    <w:rsid w:val="239C3FC7"/>
    <w:rsid w:val="23AA5A81"/>
    <w:rsid w:val="23B163DD"/>
    <w:rsid w:val="23E53423"/>
    <w:rsid w:val="23EE04BB"/>
    <w:rsid w:val="23F35325"/>
    <w:rsid w:val="241A2303"/>
    <w:rsid w:val="243800C3"/>
    <w:rsid w:val="243F52DE"/>
    <w:rsid w:val="24443947"/>
    <w:rsid w:val="24453837"/>
    <w:rsid w:val="24622C60"/>
    <w:rsid w:val="246B577A"/>
    <w:rsid w:val="24911635"/>
    <w:rsid w:val="24BD2C40"/>
    <w:rsid w:val="24CF6E44"/>
    <w:rsid w:val="254B07D5"/>
    <w:rsid w:val="25682FA6"/>
    <w:rsid w:val="257E6AE3"/>
    <w:rsid w:val="258B51E2"/>
    <w:rsid w:val="260B7EE1"/>
    <w:rsid w:val="261106B0"/>
    <w:rsid w:val="261A28F8"/>
    <w:rsid w:val="26343ABC"/>
    <w:rsid w:val="269433C3"/>
    <w:rsid w:val="26953F2E"/>
    <w:rsid w:val="26E87160"/>
    <w:rsid w:val="272E36A3"/>
    <w:rsid w:val="273703F7"/>
    <w:rsid w:val="27496E9D"/>
    <w:rsid w:val="27796601"/>
    <w:rsid w:val="27C16562"/>
    <w:rsid w:val="27D02B84"/>
    <w:rsid w:val="27D8220F"/>
    <w:rsid w:val="27E377E8"/>
    <w:rsid w:val="280B3B13"/>
    <w:rsid w:val="28211472"/>
    <w:rsid w:val="28425E23"/>
    <w:rsid w:val="284302D9"/>
    <w:rsid w:val="284E7852"/>
    <w:rsid w:val="285D3656"/>
    <w:rsid w:val="28622C35"/>
    <w:rsid w:val="289526EF"/>
    <w:rsid w:val="28956F46"/>
    <w:rsid w:val="28AB2B04"/>
    <w:rsid w:val="28AE2D47"/>
    <w:rsid w:val="28AE65C8"/>
    <w:rsid w:val="28B73154"/>
    <w:rsid w:val="28B8069C"/>
    <w:rsid w:val="28B96E5F"/>
    <w:rsid w:val="28BB2999"/>
    <w:rsid w:val="28D05E11"/>
    <w:rsid w:val="28EA3B06"/>
    <w:rsid w:val="291132C9"/>
    <w:rsid w:val="293869A2"/>
    <w:rsid w:val="295D235D"/>
    <w:rsid w:val="29787EA8"/>
    <w:rsid w:val="2996794B"/>
    <w:rsid w:val="299732C6"/>
    <w:rsid w:val="29A52B5E"/>
    <w:rsid w:val="29B70020"/>
    <w:rsid w:val="29C7079D"/>
    <w:rsid w:val="29D863E4"/>
    <w:rsid w:val="29E00C9A"/>
    <w:rsid w:val="29F45C40"/>
    <w:rsid w:val="29F8022C"/>
    <w:rsid w:val="2A10715F"/>
    <w:rsid w:val="2A225B8D"/>
    <w:rsid w:val="2A603180"/>
    <w:rsid w:val="2A645EEC"/>
    <w:rsid w:val="2A7465CA"/>
    <w:rsid w:val="2AC844DD"/>
    <w:rsid w:val="2AF634A0"/>
    <w:rsid w:val="2B182A60"/>
    <w:rsid w:val="2B781A4C"/>
    <w:rsid w:val="2B8574E1"/>
    <w:rsid w:val="2B9871A1"/>
    <w:rsid w:val="2BA8600E"/>
    <w:rsid w:val="2BC33D21"/>
    <w:rsid w:val="2BCE7C56"/>
    <w:rsid w:val="2BCF71CE"/>
    <w:rsid w:val="2C406A7A"/>
    <w:rsid w:val="2C723B35"/>
    <w:rsid w:val="2C9A7107"/>
    <w:rsid w:val="2C9D38F3"/>
    <w:rsid w:val="2CA742E6"/>
    <w:rsid w:val="2CBB1D3E"/>
    <w:rsid w:val="2CC16B4C"/>
    <w:rsid w:val="2CC64632"/>
    <w:rsid w:val="2CE17DC2"/>
    <w:rsid w:val="2CEF2641"/>
    <w:rsid w:val="2CFA29A6"/>
    <w:rsid w:val="2CFF12BD"/>
    <w:rsid w:val="2CFF7073"/>
    <w:rsid w:val="2D0806C0"/>
    <w:rsid w:val="2D1236EA"/>
    <w:rsid w:val="2D4B0666"/>
    <w:rsid w:val="2D8B253F"/>
    <w:rsid w:val="2D9151E5"/>
    <w:rsid w:val="2DD84C8F"/>
    <w:rsid w:val="2DF6284C"/>
    <w:rsid w:val="2E1D3FC5"/>
    <w:rsid w:val="2E2228ED"/>
    <w:rsid w:val="2E511246"/>
    <w:rsid w:val="2E6E7119"/>
    <w:rsid w:val="2E703895"/>
    <w:rsid w:val="2E85020A"/>
    <w:rsid w:val="2E9342F4"/>
    <w:rsid w:val="2ECB3843"/>
    <w:rsid w:val="2ED45B4B"/>
    <w:rsid w:val="2EE108B0"/>
    <w:rsid w:val="2EF16658"/>
    <w:rsid w:val="2F284CDB"/>
    <w:rsid w:val="2F5C5AAD"/>
    <w:rsid w:val="2F7117E3"/>
    <w:rsid w:val="2F912822"/>
    <w:rsid w:val="2FEE3CAB"/>
    <w:rsid w:val="2FF95F7B"/>
    <w:rsid w:val="2FFA5220"/>
    <w:rsid w:val="30212247"/>
    <w:rsid w:val="302B1032"/>
    <w:rsid w:val="30333221"/>
    <w:rsid w:val="30B30DB4"/>
    <w:rsid w:val="30DC412F"/>
    <w:rsid w:val="30ED42E4"/>
    <w:rsid w:val="31295965"/>
    <w:rsid w:val="31355446"/>
    <w:rsid w:val="313A2208"/>
    <w:rsid w:val="314845CB"/>
    <w:rsid w:val="314C0E95"/>
    <w:rsid w:val="316349BF"/>
    <w:rsid w:val="31E76A52"/>
    <w:rsid w:val="31FF3F17"/>
    <w:rsid w:val="320C1224"/>
    <w:rsid w:val="3238706D"/>
    <w:rsid w:val="323B3FD2"/>
    <w:rsid w:val="32450DC1"/>
    <w:rsid w:val="3278330D"/>
    <w:rsid w:val="3291408B"/>
    <w:rsid w:val="32BF4335"/>
    <w:rsid w:val="32EB68E3"/>
    <w:rsid w:val="331312E5"/>
    <w:rsid w:val="332361B4"/>
    <w:rsid w:val="33352CB6"/>
    <w:rsid w:val="333A60D9"/>
    <w:rsid w:val="335D55CE"/>
    <w:rsid w:val="336271D2"/>
    <w:rsid w:val="33671135"/>
    <w:rsid w:val="33721A31"/>
    <w:rsid w:val="33B00116"/>
    <w:rsid w:val="33DC32D5"/>
    <w:rsid w:val="34013668"/>
    <w:rsid w:val="340442D2"/>
    <w:rsid w:val="3408104C"/>
    <w:rsid w:val="346B5C8E"/>
    <w:rsid w:val="346F5067"/>
    <w:rsid w:val="34701F30"/>
    <w:rsid w:val="3473657A"/>
    <w:rsid w:val="348537E2"/>
    <w:rsid w:val="348E15C3"/>
    <w:rsid w:val="349912B4"/>
    <w:rsid w:val="34A37369"/>
    <w:rsid w:val="34D202CB"/>
    <w:rsid w:val="34F55DA1"/>
    <w:rsid w:val="35D927FD"/>
    <w:rsid w:val="36033238"/>
    <w:rsid w:val="36084F99"/>
    <w:rsid w:val="36396643"/>
    <w:rsid w:val="36677BB0"/>
    <w:rsid w:val="366A1DAD"/>
    <w:rsid w:val="369C18E8"/>
    <w:rsid w:val="369E2C2F"/>
    <w:rsid w:val="36AB5952"/>
    <w:rsid w:val="36E425A5"/>
    <w:rsid w:val="36F611A8"/>
    <w:rsid w:val="370F5EC5"/>
    <w:rsid w:val="37391993"/>
    <w:rsid w:val="379C02F9"/>
    <w:rsid w:val="37A04E51"/>
    <w:rsid w:val="37A64627"/>
    <w:rsid w:val="37A72596"/>
    <w:rsid w:val="37C00517"/>
    <w:rsid w:val="37DA6803"/>
    <w:rsid w:val="380A31BC"/>
    <w:rsid w:val="383E500B"/>
    <w:rsid w:val="38490F05"/>
    <w:rsid w:val="38717090"/>
    <w:rsid w:val="38814D65"/>
    <w:rsid w:val="389117BF"/>
    <w:rsid w:val="389D500B"/>
    <w:rsid w:val="38FA5C58"/>
    <w:rsid w:val="392C40A2"/>
    <w:rsid w:val="39517FAC"/>
    <w:rsid w:val="39876235"/>
    <w:rsid w:val="39A4498B"/>
    <w:rsid w:val="39AE401C"/>
    <w:rsid w:val="39B37A3A"/>
    <w:rsid w:val="39BA35B0"/>
    <w:rsid w:val="39C1425F"/>
    <w:rsid w:val="39D84FD3"/>
    <w:rsid w:val="39EA66FC"/>
    <w:rsid w:val="39FB0E7C"/>
    <w:rsid w:val="3A111272"/>
    <w:rsid w:val="3A13461E"/>
    <w:rsid w:val="3A1537DD"/>
    <w:rsid w:val="3A250FFF"/>
    <w:rsid w:val="3A2A59A8"/>
    <w:rsid w:val="3A2D017A"/>
    <w:rsid w:val="3A6276C6"/>
    <w:rsid w:val="3A7A4DB8"/>
    <w:rsid w:val="3A8D24AB"/>
    <w:rsid w:val="3A922EC1"/>
    <w:rsid w:val="3AA040E8"/>
    <w:rsid w:val="3B025930"/>
    <w:rsid w:val="3B0D3BE3"/>
    <w:rsid w:val="3B0F70E7"/>
    <w:rsid w:val="3B283A68"/>
    <w:rsid w:val="3B4453F8"/>
    <w:rsid w:val="3B4D75DD"/>
    <w:rsid w:val="3B5C68F2"/>
    <w:rsid w:val="3B751540"/>
    <w:rsid w:val="3B97625B"/>
    <w:rsid w:val="3B990599"/>
    <w:rsid w:val="3BAD7BD8"/>
    <w:rsid w:val="3BCD4489"/>
    <w:rsid w:val="3BD91161"/>
    <w:rsid w:val="3BDE69E0"/>
    <w:rsid w:val="3BE65B89"/>
    <w:rsid w:val="3BE94B23"/>
    <w:rsid w:val="3BEC1394"/>
    <w:rsid w:val="3BF31077"/>
    <w:rsid w:val="3BFF267F"/>
    <w:rsid w:val="3C0125B1"/>
    <w:rsid w:val="3C022C98"/>
    <w:rsid w:val="3C653E1C"/>
    <w:rsid w:val="3C9E3D03"/>
    <w:rsid w:val="3CAD2309"/>
    <w:rsid w:val="3CBD34F6"/>
    <w:rsid w:val="3CE158D9"/>
    <w:rsid w:val="3CEB7B73"/>
    <w:rsid w:val="3D08503E"/>
    <w:rsid w:val="3D0A65ED"/>
    <w:rsid w:val="3D127CD0"/>
    <w:rsid w:val="3D5B7DDC"/>
    <w:rsid w:val="3DB87146"/>
    <w:rsid w:val="3DC1741E"/>
    <w:rsid w:val="3DC20FB7"/>
    <w:rsid w:val="3DD804D5"/>
    <w:rsid w:val="3DD87E87"/>
    <w:rsid w:val="3DE352F8"/>
    <w:rsid w:val="3E0014C6"/>
    <w:rsid w:val="3E05278A"/>
    <w:rsid w:val="3E147850"/>
    <w:rsid w:val="3E2A39F0"/>
    <w:rsid w:val="3E5341EB"/>
    <w:rsid w:val="3E5B41C0"/>
    <w:rsid w:val="3EC075CD"/>
    <w:rsid w:val="3EC9270F"/>
    <w:rsid w:val="3ED2049D"/>
    <w:rsid w:val="3EFE6385"/>
    <w:rsid w:val="3F1626BD"/>
    <w:rsid w:val="3F1A4554"/>
    <w:rsid w:val="3F3563C7"/>
    <w:rsid w:val="3F482547"/>
    <w:rsid w:val="3F4B34EA"/>
    <w:rsid w:val="3F9A339E"/>
    <w:rsid w:val="3FAF7B41"/>
    <w:rsid w:val="3FB069C2"/>
    <w:rsid w:val="3FC77594"/>
    <w:rsid w:val="3FDB580B"/>
    <w:rsid w:val="3FE377C4"/>
    <w:rsid w:val="3FE83A37"/>
    <w:rsid w:val="3FF82BEA"/>
    <w:rsid w:val="40020B96"/>
    <w:rsid w:val="40050DF9"/>
    <w:rsid w:val="400E07C4"/>
    <w:rsid w:val="401679AB"/>
    <w:rsid w:val="40357531"/>
    <w:rsid w:val="40403CD7"/>
    <w:rsid w:val="40452330"/>
    <w:rsid w:val="404D40FA"/>
    <w:rsid w:val="407326C4"/>
    <w:rsid w:val="4078177E"/>
    <w:rsid w:val="407F281E"/>
    <w:rsid w:val="409C605A"/>
    <w:rsid w:val="40A61C36"/>
    <w:rsid w:val="40DF1D5D"/>
    <w:rsid w:val="411368D5"/>
    <w:rsid w:val="41220DA9"/>
    <w:rsid w:val="414A754B"/>
    <w:rsid w:val="414B303B"/>
    <w:rsid w:val="415941C3"/>
    <w:rsid w:val="417C3B89"/>
    <w:rsid w:val="417D4214"/>
    <w:rsid w:val="418C248F"/>
    <w:rsid w:val="419C166D"/>
    <w:rsid w:val="41D242BF"/>
    <w:rsid w:val="41E74EF8"/>
    <w:rsid w:val="41EF5EAC"/>
    <w:rsid w:val="41F63F19"/>
    <w:rsid w:val="41FF1C0C"/>
    <w:rsid w:val="42483279"/>
    <w:rsid w:val="428C38E4"/>
    <w:rsid w:val="42BD0EC5"/>
    <w:rsid w:val="42BD6C09"/>
    <w:rsid w:val="42C205E7"/>
    <w:rsid w:val="42D53F45"/>
    <w:rsid w:val="42DB29F2"/>
    <w:rsid w:val="42DD5055"/>
    <w:rsid w:val="42DF7009"/>
    <w:rsid w:val="42E94F36"/>
    <w:rsid w:val="430A158C"/>
    <w:rsid w:val="43236EC6"/>
    <w:rsid w:val="43256446"/>
    <w:rsid w:val="4345685B"/>
    <w:rsid w:val="43564D6D"/>
    <w:rsid w:val="439B253A"/>
    <w:rsid w:val="43B03178"/>
    <w:rsid w:val="43D61FDC"/>
    <w:rsid w:val="4403147E"/>
    <w:rsid w:val="441A7CAE"/>
    <w:rsid w:val="44375F21"/>
    <w:rsid w:val="446C5995"/>
    <w:rsid w:val="447A4E60"/>
    <w:rsid w:val="4497537F"/>
    <w:rsid w:val="45132F9B"/>
    <w:rsid w:val="45154A79"/>
    <w:rsid w:val="457375A7"/>
    <w:rsid w:val="458C079A"/>
    <w:rsid w:val="45BD5DC0"/>
    <w:rsid w:val="45C801CC"/>
    <w:rsid w:val="45E25051"/>
    <w:rsid w:val="45F1791D"/>
    <w:rsid w:val="460709FD"/>
    <w:rsid w:val="460F6330"/>
    <w:rsid w:val="4622652E"/>
    <w:rsid w:val="4669736A"/>
    <w:rsid w:val="46AF1277"/>
    <w:rsid w:val="46DA6469"/>
    <w:rsid w:val="46DD229F"/>
    <w:rsid w:val="46E666A6"/>
    <w:rsid w:val="46FC5E41"/>
    <w:rsid w:val="47125559"/>
    <w:rsid w:val="47194029"/>
    <w:rsid w:val="472312C1"/>
    <w:rsid w:val="4732481C"/>
    <w:rsid w:val="47566316"/>
    <w:rsid w:val="47750C94"/>
    <w:rsid w:val="47C45FFF"/>
    <w:rsid w:val="47FE69EF"/>
    <w:rsid w:val="487460AA"/>
    <w:rsid w:val="488F3AEE"/>
    <w:rsid w:val="48977582"/>
    <w:rsid w:val="48C636B7"/>
    <w:rsid w:val="49126AE8"/>
    <w:rsid w:val="491D58D2"/>
    <w:rsid w:val="4923417E"/>
    <w:rsid w:val="49397B15"/>
    <w:rsid w:val="493A7102"/>
    <w:rsid w:val="493B4898"/>
    <w:rsid w:val="493C6985"/>
    <w:rsid w:val="495911C5"/>
    <w:rsid w:val="496B5937"/>
    <w:rsid w:val="49B61B18"/>
    <w:rsid w:val="49CC78EC"/>
    <w:rsid w:val="49EB4898"/>
    <w:rsid w:val="49EE6B86"/>
    <w:rsid w:val="4A0A09E5"/>
    <w:rsid w:val="4A387D95"/>
    <w:rsid w:val="4A5A1346"/>
    <w:rsid w:val="4A702AA9"/>
    <w:rsid w:val="4AC16958"/>
    <w:rsid w:val="4AEB045F"/>
    <w:rsid w:val="4B293C74"/>
    <w:rsid w:val="4B464B89"/>
    <w:rsid w:val="4B466DE1"/>
    <w:rsid w:val="4B826E1A"/>
    <w:rsid w:val="4B863C13"/>
    <w:rsid w:val="4B9D1B4B"/>
    <w:rsid w:val="4BAD433A"/>
    <w:rsid w:val="4BCE6A72"/>
    <w:rsid w:val="4BD215FD"/>
    <w:rsid w:val="4BE14F23"/>
    <w:rsid w:val="4C2C66F5"/>
    <w:rsid w:val="4C323075"/>
    <w:rsid w:val="4C6B6D94"/>
    <w:rsid w:val="4C6D69CA"/>
    <w:rsid w:val="4C701492"/>
    <w:rsid w:val="4CA8312D"/>
    <w:rsid w:val="4CB00ECF"/>
    <w:rsid w:val="4CF44399"/>
    <w:rsid w:val="4CF44DE6"/>
    <w:rsid w:val="4CF77A39"/>
    <w:rsid w:val="4D051F42"/>
    <w:rsid w:val="4D190B07"/>
    <w:rsid w:val="4D353DF6"/>
    <w:rsid w:val="4D6877BE"/>
    <w:rsid w:val="4D794E59"/>
    <w:rsid w:val="4D8106B3"/>
    <w:rsid w:val="4D9B3523"/>
    <w:rsid w:val="4DCC3CE0"/>
    <w:rsid w:val="4E091C06"/>
    <w:rsid w:val="4E1B58CB"/>
    <w:rsid w:val="4E8037BF"/>
    <w:rsid w:val="4E95327D"/>
    <w:rsid w:val="4EA573E5"/>
    <w:rsid w:val="4EB158B1"/>
    <w:rsid w:val="4EC32C44"/>
    <w:rsid w:val="4EC75E70"/>
    <w:rsid w:val="4F257CFF"/>
    <w:rsid w:val="4F4926EF"/>
    <w:rsid w:val="4F633F5E"/>
    <w:rsid w:val="4F7E13BF"/>
    <w:rsid w:val="4F8007A3"/>
    <w:rsid w:val="4FA07C55"/>
    <w:rsid w:val="4FC94BE1"/>
    <w:rsid w:val="4FCD5E73"/>
    <w:rsid w:val="4FCE6997"/>
    <w:rsid w:val="4FD00AA6"/>
    <w:rsid w:val="501E1083"/>
    <w:rsid w:val="502E3B32"/>
    <w:rsid w:val="50326F29"/>
    <w:rsid w:val="50511804"/>
    <w:rsid w:val="505B41DF"/>
    <w:rsid w:val="505D2792"/>
    <w:rsid w:val="508730F0"/>
    <w:rsid w:val="509359E9"/>
    <w:rsid w:val="50A3465F"/>
    <w:rsid w:val="51127ACA"/>
    <w:rsid w:val="5124166B"/>
    <w:rsid w:val="512737F1"/>
    <w:rsid w:val="513835A3"/>
    <w:rsid w:val="51E43B93"/>
    <w:rsid w:val="51F56AA8"/>
    <w:rsid w:val="51FB5BF2"/>
    <w:rsid w:val="520A2E12"/>
    <w:rsid w:val="520F19CB"/>
    <w:rsid w:val="521A31FF"/>
    <w:rsid w:val="52253D4F"/>
    <w:rsid w:val="522C429F"/>
    <w:rsid w:val="527231BC"/>
    <w:rsid w:val="52925AE3"/>
    <w:rsid w:val="52AD7D97"/>
    <w:rsid w:val="52BC75F3"/>
    <w:rsid w:val="52CC283C"/>
    <w:rsid w:val="52D1159A"/>
    <w:rsid w:val="52D3777C"/>
    <w:rsid w:val="52DD1A0D"/>
    <w:rsid w:val="52E50453"/>
    <w:rsid w:val="52EF414F"/>
    <w:rsid w:val="52F06248"/>
    <w:rsid w:val="52FA1C2F"/>
    <w:rsid w:val="5313540B"/>
    <w:rsid w:val="5362306D"/>
    <w:rsid w:val="536E6320"/>
    <w:rsid w:val="539E2D13"/>
    <w:rsid w:val="53B417B9"/>
    <w:rsid w:val="53C92603"/>
    <w:rsid w:val="53DF4E59"/>
    <w:rsid w:val="546D23F7"/>
    <w:rsid w:val="547E5410"/>
    <w:rsid w:val="54AB4A11"/>
    <w:rsid w:val="54B1045B"/>
    <w:rsid w:val="54C16AA0"/>
    <w:rsid w:val="54EE6410"/>
    <w:rsid w:val="54F84B7F"/>
    <w:rsid w:val="553A66C7"/>
    <w:rsid w:val="557F646B"/>
    <w:rsid w:val="55826237"/>
    <w:rsid w:val="563F62B0"/>
    <w:rsid w:val="566269BE"/>
    <w:rsid w:val="56816114"/>
    <w:rsid w:val="56873B7C"/>
    <w:rsid w:val="56AC6419"/>
    <w:rsid w:val="56D55070"/>
    <w:rsid w:val="56DE702C"/>
    <w:rsid w:val="5716066D"/>
    <w:rsid w:val="578311F5"/>
    <w:rsid w:val="57A16FA8"/>
    <w:rsid w:val="57DD0831"/>
    <w:rsid w:val="57E05ED2"/>
    <w:rsid w:val="57EA7CE8"/>
    <w:rsid w:val="583E1EC3"/>
    <w:rsid w:val="584C0D7E"/>
    <w:rsid w:val="586B6B80"/>
    <w:rsid w:val="589B0580"/>
    <w:rsid w:val="58BD1731"/>
    <w:rsid w:val="58F05B8D"/>
    <w:rsid w:val="59161F4A"/>
    <w:rsid w:val="591F5AA1"/>
    <w:rsid w:val="593816BA"/>
    <w:rsid w:val="59631A33"/>
    <w:rsid w:val="597559A6"/>
    <w:rsid w:val="5982595F"/>
    <w:rsid w:val="59C067C5"/>
    <w:rsid w:val="59C4324D"/>
    <w:rsid w:val="59D5583E"/>
    <w:rsid w:val="59E0760E"/>
    <w:rsid w:val="59FC1ED1"/>
    <w:rsid w:val="5A2900F5"/>
    <w:rsid w:val="5A347E82"/>
    <w:rsid w:val="5A482344"/>
    <w:rsid w:val="5A6671B5"/>
    <w:rsid w:val="5AB262A3"/>
    <w:rsid w:val="5AB87AD1"/>
    <w:rsid w:val="5B061997"/>
    <w:rsid w:val="5B094DEC"/>
    <w:rsid w:val="5B1408DA"/>
    <w:rsid w:val="5B9162F5"/>
    <w:rsid w:val="5B997539"/>
    <w:rsid w:val="5BA82C76"/>
    <w:rsid w:val="5BAD4E54"/>
    <w:rsid w:val="5BCE3E84"/>
    <w:rsid w:val="5BDA41D4"/>
    <w:rsid w:val="5BDD3BC4"/>
    <w:rsid w:val="5C016AB8"/>
    <w:rsid w:val="5C1274FB"/>
    <w:rsid w:val="5C13685D"/>
    <w:rsid w:val="5C4E00A9"/>
    <w:rsid w:val="5C603331"/>
    <w:rsid w:val="5C733D15"/>
    <w:rsid w:val="5C89265A"/>
    <w:rsid w:val="5CAB7748"/>
    <w:rsid w:val="5CB42A25"/>
    <w:rsid w:val="5CC914A8"/>
    <w:rsid w:val="5CCC613C"/>
    <w:rsid w:val="5CE65332"/>
    <w:rsid w:val="5D217B69"/>
    <w:rsid w:val="5D241071"/>
    <w:rsid w:val="5D543EB9"/>
    <w:rsid w:val="5D616025"/>
    <w:rsid w:val="5D63569D"/>
    <w:rsid w:val="5D6A1887"/>
    <w:rsid w:val="5D771420"/>
    <w:rsid w:val="5DA01B9A"/>
    <w:rsid w:val="5DA11AB7"/>
    <w:rsid w:val="5DB4256B"/>
    <w:rsid w:val="5DB83F16"/>
    <w:rsid w:val="5DDF24E5"/>
    <w:rsid w:val="5DE61022"/>
    <w:rsid w:val="5E0E3556"/>
    <w:rsid w:val="5E2E782C"/>
    <w:rsid w:val="5E3D3BE5"/>
    <w:rsid w:val="5E3D7137"/>
    <w:rsid w:val="5E5347F8"/>
    <w:rsid w:val="5E626966"/>
    <w:rsid w:val="5E706283"/>
    <w:rsid w:val="5EA43A48"/>
    <w:rsid w:val="5EB66CF9"/>
    <w:rsid w:val="5ED213DB"/>
    <w:rsid w:val="5EF54AE7"/>
    <w:rsid w:val="5F1054D0"/>
    <w:rsid w:val="5F1A36A3"/>
    <w:rsid w:val="5F4B367A"/>
    <w:rsid w:val="5F781AA1"/>
    <w:rsid w:val="5F8E7B42"/>
    <w:rsid w:val="5FA54B60"/>
    <w:rsid w:val="5FCC7EC9"/>
    <w:rsid w:val="5FE85F8D"/>
    <w:rsid w:val="5FF73BA7"/>
    <w:rsid w:val="5FFC536D"/>
    <w:rsid w:val="60007068"/>
    <w:rsid w:val="601C0E43"/>
    <w:rsid w:val="602A4AEC"/>
    <w:rsid w:val="603E5E40"/>
    <w:rsid w:val="604F2C42"/>
    <w:rsid w:val="607A73C9"/>
    <w:rsid w:val="6097713E"/>
    <w:rsid w:val="60995B34"/>
    <w:rsid w:val="60A46077"/>
    <w:rsid w:val="60BD4EA2"/>
    <w:rsid w:val="60C22205"/>
    <w:rsid w:val="60C25600"/>
    <w:rsid w:val="60CF0B70"/>
    <w:rsid w:val="60CF3AAA"/>
    <w:rsid w:val="61151AF4"/>
    <w:rsid w:val="61361160"/>
    <w:rsid w:val="614B734F"/>
    <w:rsid w:val="61543E5F"/>
    <w:rsid w:val="61943506"/>
    <w:rsid w:val="61B33623"/>
    <w:rsid w:val="61EE478D"/>
    <w:rsid w:val="61F05BB5"/>
    <w:rsid w:val="621A25E8"/>
    <w:rsid w:val="62226E68"/>
    <w:rsid w:val="625C0512"/>
    <w:rsid w:val="62663CE2"/>
    <w:rsid w:val="626E01EC"/>
    <w:rsid w:val="628A1140"/>
    <w:rsid w:val="62997386"/>
    <w:rsid w:val="629F41E7"/>
    <w:rsid w:val="62C42BAF"/>
    <w:rsid w:val="62CA5B93"/>
    <w:rsid w:val="62E41B8A"/>
    <w:rsid w:val="62EA2917"/>
    <w:rsid w:val="62F05B32"/>
    <w:rsid w:val="63030212"/>
    <w:rsid w:val="63053559"/>
    <w:rsid w:val="630A2D60"/>
    <w:rsid w:val="63265D0B"/>
    <w:rsid w:val="633C2DBF"/>
    <w:rsid w:val="633D4B77"/>
    <w:rsid w:val="63BE52C2"/>
    <w:rsid w:val="63CB2B3F"/>
    <w:rsid w:val="640E030D"/>
    <w:rsid w:val="64135587"/>
    <w:rsid w:val="64171D3C"/>
    <w:rsid w:val="642B7B1D"/>
    <w:rsid w:val="642C1C24"/>
    <w:rsid w:val="6456295C"/>
    <w:rsid w:val="647530BE"/>
    <w:rsid w:val="647B57FA"/>
    <w:rsid w:val="647E02E9"/>
    <w:rsid w:val="648B1600"/>
    <w:rsid w:val="649E2F95"/>
    <w:rsid w:val="64AA08D3"/>
    <w:rsid w:val="64B220E7"/>
    <w:rsid w:val="64EC61AF"/>
    <w:rsid w:val="64F93283"/>
    <w:rsid w:val="64FB3DFD"/>
    <w:rsid w:val="650D579B"/>
    <w:rsid w:val="651E2481"/>
    <w:rsid w:val="65200781"/>
    <w:rsid w:val="65241347"/>
    <w:rsid w:val="655F5276"/>
    <w:rsid w:val="657D6E4E"/>
    <w:rsid w:val="657F0C7D"/>
    <w:rsid w:val="65A069B8"/>
    <w:rsid w:val="65BF076D"/>
    <w:rsid w:val="65D363FE"/>
    <w:rsid w:val="65DA0EDF"/>
    <w:rsid w:val="65FB5543"/>
    <w:rsid w:val="660145CE"/>
    <w:rsid w:val="66094CEF"/>
    <w:rsid w:val="662A062B"/>
    <w:rsid w:val="6672347A"/>
    <w:rsid w:val="669458D4"/>
    <w:rsid w:val="669B2DAC"/>
    <w:rsid w:val="66C6555A"/>
    <w:rsid w:val="66C9687F"/>
    <w:rsid w:val="66D3746D"/>
    <w:rsid w:val="66F60ADB"/>
    <w:rsid w:val="675E7B2F"/>
    <w:rsid w:val="676B1890"/>
    <w:rsid w:val="676F0AF8"/>
    <w:rsid w:val="67AB150E"/>
    <w:rsid w:val="67CD7237"/>
    <w:rsid w:val="67F03357"/>
    <w:rsid w:val="67F533CA"/>
    <w:rsid w:val="68001A31"/>
    <w:rsid w:val="682C32BD"/>
    <w:rsid w:val="68464966"/>
    <w:rsid w:val="685030E4"/>
    <w:rsid w:val="687057E9"/>
    <w:rsid w:val="68A75E49"/>
    <w:rsid w:val="68B5685E"/>
    <w:rsid w:val="68C534EB"/>
    <w:rsid w:val="68D5768D"/>
    <w:rsid w:val="6904162A"/>
    <w:rsid w:val="69132827"/>
    <w:rsid w:val="692815DF"/>
    <w:rsid w:val="69387DE5"/>
    <w:rsid w:val="695077E1"/>
    <w:rsid w:val="695576CE"/>
    <w:rsid w:val="69605C1E"/>
    <w:rsid w:val="696B79AD"/>
    <w:rsid w:val="699B14FF"/>
    <w:rsid w:val="69A86778"/>
    <w:rsid w:val="69A90ACD"/>
    <w:rsid w:val="69BC3920"/>
    <w:rsid w:val="69C506FD"/>
    <w:rsid w:val="69D7196B"/>
    <w:rsid w:val="69DE2885"/>
    <w:rsid w:val="69ED0AFA"/>
    <w:rsid w:val="6A305BA5"/>
    <w:rsid w:val="6A5B6701"/>
    <w:rsid w:val="6A7721CC"/>
    <w:rsid w:val="6AA26BF2"/>
    <w:rsid w:val="6AD32F0C"/>
    <w:rsid w:val="6ADD0C75"/>
    <w:rsid w:val="6B050C28"/>
    <w:rsid w:val="6B177B6A"/>
    <w:rsid w:val="6B2D2BBA"/>
    <w:rsid w:val="6B5B7CED"/>
    <w:rsid w:val="6B741494"/>
    <w:rsid w:val="6B8C69B3"/>
    <w:rsid w:val="6BBE4C0E"/>
    <w:rsid w:val="6BED22FB"/>
    <w:rsid w:val="6BF80AF4"/>
    <w:rsid w:val="6BFE3F67"/>
    <w:rsid w:val="6C5015C8"/>
    <w:rsid w:val="6C5D27FF"/>
    <w:rsid w:val="6C83492B"/>
    <w:rsid w:val="6CAA741C"/>
    <w:rsid w:val="6CAA7B62"/>
    <w:rsid w:val="6CB37DF5"/>
    <w:rsid w:val="6CBA3714"/>
    <w:rsid w:val="6CC012DF"/>
    <w:rsid w:val="6CD13668"/>
    <w:rsid w:val="6CD937BA"/>
    <w:rsid w:val="6CEA5838"/>
    <w:rsid w:val="6CEB7E2C"/>
    <w:rsid w:val="6D097386"/>
    <w:rsid w:val="6D134EA2"/>
    <w:rsid w:val="6D2D64C3"/>
    <w:rsid w:val="6D346943"/>
    <w:rsid w:val="6D38012A"/>
    <w:rsid w:val="6D421972"/>
    <w:rsid w:val="6D507C83"/>
    <w:rsid w:val="6D711E93"/>
    <w:rsid w:val="6DB90F30"/>
    <w:rsid w:val="6E0747A1"/>
    <w:rsid w:val="6E0D408F"/>
    <w:rsid w:val="6E294F32"/>
    <w:rsid w:val="6E504BE1"/>
    <w:rsid w:val="6E6E4721"/>
    <w:rsid w:val="6E88113D"/>
    <w:rsid w:val="6E8D0AE4"/>
    <w:rsid w:val="6E9259F0"/>
    <w:rsid w:val="6EB24755"/>
    <w:rsid w:val="6EC04F54"/>
    <w:rsid w:val="6EE65983"/>
    <w:rsid w:val="6F225A61"/>
    <w:rsid w:val="6F276643"/>
    <w:rsid w:val="6F8F0E00"/>
    <w:rsid w:val="6FA4640A"/>
    <w:rsid w:val="6FB60DA1"/>
    <w:rsid w:val="6FBC2636"/>
    <w:rsid w:val="6FDF2E10"/>
    <w:rsid w:val="700830BC"/>
    <w:rsid w:val="7022721E"/>
    <w:rsid w:val="706C49B7"/>
    <w:rsid w:val="709D36DD"/>
    <w:rsid w:val="70AE5776"/>
    <w:rsid w:val="70BA6470"/>
    <w:rsid w:val="70D176BD"/>
    <w:rsid w:val="70DF5B04"/>
    <w:rsid w:val="70EC79A7"/>
    <w:rsid w:val="70F30053"/>
    <w:rsid w:val="70FF6713"/>
    <w:rsid w:val="71427F31"/>
    <w:rsid w:val="71823204"/>
    <w:rsid w:val="719D288A"/>
    <w:rsid w:val="71AA1962"/>
    <w:rsid w:val="71BC6CD3"/>
    <w:rsid w:val="71C0121E"/>
    <w:rsid w:val="71CB3D45"/>
    <w:rsid w:val="71FB5201"/>
    <w:rsid w:val="71FB55B2"/>
    <w:rsid w:val="71FC388D"/>
    <w:rsid w:val="725674CD"/>
    <w:rsid w:val="72723C6E"/>
    <w:rsid w:val="72736884"/>
    <w:rsid w:val="72B42681"/>
    <w:rsid w:val="72D510BF"/>
    <w:rsid w:val="72F26923"/>
    <w:rsid w:val="730D40FB"/>
    <w:rsid w:val="73171BB2"/>
    <w:rsid w:val="73951CAD"/>
    <w:rsid w:val="73BE5BBD"/>
    <w:rsid w:val="73C41939"/>
    <w:rsid w:val="73C53027"/>
    <w:rsid w:val="73EE51D4"/>
    <w:rsid w:val="74082F8B"/>
    <w:rsid w:val="740D1C86"/>
    <w:rsid w:val="74282A65"/>
    <w:rsid w:val="74836492"/>
    <w:rsid w:val="74893B17"/>
    <w:rsid w:val="74B00827"/>
    <w:rsid w:val="74D05686"/>
    <w:rsid w:val="74E05632"/>
    <w:rsid w:val="74FB6526"/>
    <w:rsid w:val="751A2F63"/>
    <w:rsid w:val="751B5CBE"/>
    <w:rsid w:val="75872E28"/>
    <w:rsid w:val="758D3666"/>
    <w:rsid w:val="758F5C8A"/>
    <w:rsid w:val="762E6DFC"/>
    <w:rsid w:val="763E5CFF"/>
    <w:rsid w:val="764262F9"/>
    <w:rsid w:val="764D6F26"/>
    <w:rsid w:val="766E6F31"/>
    <w:rsid w:val="76BD4699"/>
    <w:rsid w:val="76CF74DF"/>
    <w:rsid w:val="76D40620"/>
    <w:rsid w:val="76D46993"/>
    <w:rsid w:val="76EA5B6C"/>
    <w:rsid w:val="771204EE"/>
    <w:rsid w:val="77646235"/>
    <w:rsid w:val="77742A68"/>
    <w:rsid w:val="77A429F0"/>
    <w:rsid w:val="77C81639"/>
    <w:rsid w:val="77D955C5"/>
    <w:rsid w:val="77FF7B9C"/>
    <w:rsid w:val="780C3703"/>
    <w:rsid w:val="780F475E"/>
    <w:rsid w:val="784B57E9"/>
    <w:rsid w:val="78656795"/>
    <w:rsid w:val="78782EBA"/>
    <w:rsid w:val="78A1114E"/>
    <w:rsid w:val="78B5084C"/>
    <w:rsid w:val="78DF0A5C"/>
    <w:rsid w:val="78E00503"/>
    <w:rsid w:val="78E37DC9"/>
    <w:rsid w:val="792051B4"/>
    <w:rsid w:val="795653D7"/>
    <w:rsid w:val="79D867BE"/>
    <w:rsid w:val="7A3858B2"/>
    <w:rsid w:val="7A4017C2"/>
    <w:rsid w:val="7AC46CFD"/>
    <w:rsid w:val="7AFA10AF"/>
    <w:rsid w:val="7B0E531F"/>
    <w:rsid w:val="7B1724CB"/>
    <w:rsid w:val="7B5218D3"/>
    <w:rsid w:val="7B6C4FBD"/>
    <w:rsid w:val="7B8755C3"/>
    <w:rsid w:val="7B963D11"/>
    <w:rsid w:val="7B9E0967"/>
    <w:rsid w:val="7BA24F4D"/>
    <w:rsid w:val="7BBA473F"/>
    <w:rsid w:val="7BD8789E"/>
    <w:rsid w:val="7BDA09B2"/>
    <w:rsid w:val="7BE144A8"/>
    <w:rsid w:val="7C004451"/>
    <w:rsid w:val="7C024498"/>
    <w:rsid w:val="7C24119E"/>
    <w:rsid w:val="7C282845"/>
    <w:rsid w:val="7C2F016E"/>
    <w:rsid w:val="7CB2453D"/>
    <w:rsid w:val="7CC47908"/>
    <w:rsid w:val="7CC9636F"/>
    <w:rsid w:val="7CD73019"/>
    <w:rsid w:val="7CEB1808"/>
    <w:rsid w:val="7D3773D3"/>
    <w:rsid w:val="7D43459D"/>
    <w:rsid w:val="7D676CA0"/>
    <w:rsid w:val="7D7A523C"/>
    <w:rsid w:val="7D877C95"/>
    <w:rsid w:val="7D9D755D"/>
    <w:rsid w:val="7DC175B1"/>
    <w:rsid w:val="7DC25692"/>
    <w:rsid w:val="7DCC2506"/>
    <w:rsid w:val="7DDD397A"/>
    <w:rsid w:val="7DE5475B"/>
    <w:rsid w:val="7DE736E9"/>
    <w:rsid w:val="7DFA5D09"/>
    <w:rsid w:val="7E56004C"/>
    <w:rsid w:val="7E5B6913"/>
    <w:rsid w:val="7E730CDD"/>
    <w:rsid w:val="7E755BA6"/>
    <w:rsid w:val="7E7858C1"/>
    <w:rsid w:val="7E812B07"/>
    <w:rsid w:val="7E817548"/>
    <w:rsid w:val="7E883B16"/>
    <w:rsid w:val="7EB8290B"/>
    <w:rsid w:val="7EC10144"/>
    <w:rsid w:val="7EF93E96"/>
    <w:rsid w:val="7F1B7AA4"/>
    <w:rsid w:val="7F4A710F"/>
    <w:rsid w:val="7F5117AF"/>
    <w:rsid w:val="7F5B6412"/>
    <w:rsid w:val="7F8C5DF9"/>
    <w:rsid w:val="7FDD0145"/>
    <w:rsid w:val="7FF72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8530E-F0F5-4E7F-B51B-FE6B396089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1087</Words>
  <Characters>6196</Characters>
  <Lines>51</Lines>
  <Paragraphs>14</Paragraphs>
  <TotalTime>0</TotalTime>
  <ScaleCrop>false</ScaleCrop>
  <LinksUpToDate>false</LinksUpToDate>
  <CharactersWithSpaces>7269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2015-04-16T02:44:00Z</dcterms:created>
  <dc:creator>LQ</dc:creator>
  <cp:lastModifiedBy>阳光洒落</cp:lastModifiedBy>
  <cp:lastPrinted>2015-04-17T08:37:00Z</cp:lastPrinted>
  <dcterms:modified xsi:type="dcterms:W3CDTF">2021-08-26T02:52:10Z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C9E24F353E3043A98CEBB9340FCCF14F</vt:lpwstr>
  </property>
</Properties>
</file>