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山西科学技术出版社有限责任公司</w:t>
      </w:r>
    </w:p>
    <w:p>
      <w:pPr>
        <w:pStyle w:val="2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eastAsia="zh-CN"/>
        </w:rPr>
        <w:t>一季度</w:t>
      </w:r>
      <w:r>
        <w:rPr>
          <w:rFonts w:hint="eastAsia"/>
        </w:rPr>
        <w:t>财务等重大信息</w:t>
      </w:r>
    </w:p>
    <w:p>
      <w:pPr>
        <w:pStyle w:val="3"/>
        <w:spacing w:before="312" w:after="156"/>
        <w:ind w:firstLine="643"/>
      </w:pPr>
      <w:r>
        <w:rPr>
          <w:rFonts w:hint="eastAsia"/>
        </w:rPr>
        <w:t>一、企业基本情况</w:t>
      </w:r>
    </w:p>
    <w:p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中文名称：山西科学技术出版社有限责任公司  </w:t>
      </w:r>
    </w:p>
    <w:p>
      <w:pPr>
        <w:spacing w:line="360" w:lineRule="auto"/>
        <w:ind w:firstLine="480"/>
        <w:rPr>
          <w:rFonts w:hint="eastAsia" w:ascii="宋体" w:hAnsi="宋体" w:eastAsia="宋体"/>
          <w:szCs w:val="24"/>
          <w:lang w:val="en-US" w:eastAsia="zh-CN"/>
        </w:rPr>
      </w:pPr>
      <w:r>
        <w:rPr>
          <w:rFonts w:hint="eastAsia" w:ascii="宋体" w:hAnsi="宋体"/>
          <w:szCs w:val="24"/>
        </w:rPr>
        <w:t>法定代表人：</w:t>
      </w:r>
      <w:r>
        <w:rPr>
          <w:rFonts w:hint="eastAsia" w:ascii="宋体" w:hAnsi="宋体"/>
          <w:szCs w:val="24"/>
          <w:lang w:eastAsia="zh-CN"/>
        </w:rPr>
        <w:t>阎文凯</w:t>
      </w:r>
    </w:p>
    <w:p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出资人：山西出版传媒集团有限责任公司</w:t>
      </w:r>
    </w:p>
    <w:p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注册地址：太原市建设南路21号</w:t>
      </w:r>
    </w:p>
    <w:p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办公地址：太原市建设南路21号 </w:t>
      </w:r>
    </w:p>
    <w:p>
      <w:pPr>
        <w:spacing w:line="360" w:lineRule="auto"/>
        <w:ind w:firstLine="0" w:firstLineChars="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邮政编码：030012</w:t>
      </w:r>
    </w:p>
    <w:p>
      <w:pPr>
        <w:spacing w:line="360" w:lineRule="auto"/>
        <w:ind w:firstLine="480"/>
        <w:rPr>
          <w:rFonts w:ascii="宋体" w:hAnsi="宋体" w:cs="Times New Roman"/>
          <w:szCs w:val="24"/>
        </w:rPr>
      </w:pPr>
      <w:r>
        <w:rPr>
          <w:rFonts w:hint="eastAsia" w:ascii="宋体" w:hAnsi="宋体"/>
          <w:szCs w:val="24"/>
        </w:rPr>
        <w:t>电子信箱：</w:t>
      </w:r>
      <w:r>
        <w:rPr>
          <w:rFonts w:hint="eastAsia" w:ascii="宋体" w:hAnsi="宋体" w:cs="Times New Roman"/>
          <w:szCs w:val="24"/>
        </w:rPr>
        <w:t>sxkjcbs@163.com</w:t>
      </w:r>
    </w:p>
    <w:p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经营范围：主营教科书、教辅类图书、科学技术教育方面的图书音像读物的出版发行。兼营科技图书广告；纸张、木浆、印制品及材料、文具用品、工艺美术品的销售；健康咨询（不含医疗）；礼仪庆典服务。</w:t>
      </w:r>
    </w:p>
    <w:p>
      <w:pPr>
        <w:spacing w:line="360" w:lineRule="auto"/>
        <w:ind w:firstLine="480"/>
        <w:rPr>
          <w:rFonts w:ascii="楷体_GB2312" w:hAnsi="宋体" w:eastAsia="楷体_GB2312"/>
          <w:szCs w:val="24"/>
        </w:rPr>
      </w:pPr>
      <w:r>
        <w:rPr>
          <w:rFonts w:hint="eastAsia" w:ascii="宋体" w:hAnsi="宋体"/>
          <w:szCs w:val="24"/>
        </w:rPr>
        <w:t>企业简介：</w:t>
      </w:r>
      <w:r>
        <w:rPr>
          <w:rFonts w:ascii="宋体" w:hAnsi="宋体"/>
          <w:szCs w:val="24"/>
        </w:rPr>
        <w:t>1984年根据文化部文出字（84）第1464号文件，成立了山西科学教育出版社；1991年5月，根据国家新闻出版署（91）新出图字第425号文件更名为山西科学技术出版社</w:t>
      </w:r>
      <w:r>
        <w:rPr>
          <w:rFonts w:hint="eastAsia" w:ascii="宋体" w:hAnsi="宋体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2018年12月，根据集团晋出传集发【2018】18号文件，更名为山西科学技术出版社有限责任公司，</w:t>
      </w:r>
      <w:r>
        <w:rPr>
          <w:rFonts w:hint="eastAsia" w:ascii="宋体" w:hAnsi="宋体"/>
          <w:sz w:val="24"/>
          <w:szCs w:val="24"/>
        </w:rPr>
        <w:t>经太原市工商行政管理局登记注册，核发了注册号为91140100405748105C的《企业法人营业执照》，现任法定代表人</w:t>
      </w:r>
      <w:r>
        <w:rPr>
          <w:rFonts w:hint="eastAsia" w:ascii="宋体" w:hAnsi="宋体"/>
          <w:sz w:val="24"/>
          <w:szCs w:val="24"/>
          <w:lang w:eastAsia="zh-CN"/>
        </w:rPr>
        <w:t>阎文凯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Cs w:val="24"/>
        </w:rPr>
        <w:t>增值税管理税务机关为太原市迎泽区税务局二分局，纳税人识别号：91140100405748105C。企业所得税归太原市迎泽区税务局二分局管理，现有职工</w:t>
      </w:r>
      <w:r>
        <w:rPr>
          <w:rFonts w:hint="eastAsia" w:ascii="宋体" w:hAnsi="宋体"/>
          <w:szCs w:val="24"/>
          <w:lang w:val="en-US" w:eastAsia="zh-CN"/>
        </w:rPr>
        <w:t>42</w:t>
      </w:r>
      <w:r>
        <w:rPr>
          <w:rFonts w:hint="eastAsia" w:ascii="宋体" w:hAnsi="宋体"/>
          <w:szCs w:val="24"/>
        </w:rPr>
        <w:t>人。</w:t>
      </w:r>
    </w:p>
    <w:p>
      <w:pPr>
        <w:spacing w:line="360" w:lineRule="auto"/>
        <w:ind w:firstLine="530" w:firstLineChars="221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山西科学技术出版社</w:t>
      </w:r>
      <w:r>
        <w:rPr>
          <w:rFonts w:hint="eastAsia" w:ascii="宋体" w:hAnsi="宋体"/>
          <w:szCs w:val="24"/>
          <w:lang w:eastAsia="zh-CN"/>
        </w:rPr>
        <w:t>有限责任公司</w:t>
      </w:r>
      <w:r>
        <w:rPr>
          <w:rFonts w:hint="eastAsia" w:ascii="宋体" w:hAnsi="宋体"/>
          <w:szCs w:val="24"/>
        </w:rPr>
        <w:t>是我省唯一一家主要出版科学技术类图书的专业出版社，三十年来坚持面向市场，注重实用的出版特色，打造出了中医、武术两大优势品牌，并发展出《研究性学习》《省情教育》等一系列</w:t>
      </w:r>
      <w:r>
        <w:rPr>
          <w:rFonts w:hint="eastAsia" w:ascii="宋体" w:hAnsi="宋体"/>
          <w:szCs w:val="24"/>
          <w:lang w:eastAsia="zh-CN"/>
        </w:rPr>
        <w:t>地方</w:t>
      </w:r>
      <w:r>
        <w:rPr>
          <w:rFonts w:hint="eastAsia" w:ascii="宋体" w:hAnsi="宋体"/>
          <w:szCs w:val="24"/>
        </w:rPr>
        <w:t>教材。</w:t>
      </w:r>
    </w:p>
    <w:p>
      <w:pPr>
        <w:ind w:firstLine="480"/>
        <w:rPr>
          <w:rFonts w:ascii="宋体"/>
          <w:szCs w:val="24"/>
        </w:rPr>
      </w:pPr>
    </w:p>
    <w:p>
      <w:pPr>
        <w:pStyle w:val="3"/>
        <w:spacing w:before="312" w:after="156"/>
        <w:ind w:firstLine="643"/>
      </w:pPr>
      <w:r>
        <w:rPr>
          <w:rFonts w:hint="eastAsia"/>
        </w:rPr>
        <w:t>二、主要会计数据和财务指标</w:t>
      </w:r>
    </w:p>
    <w:p>
      <w:pPr>
        <w:spacing w:afterLines="50"/>
        <w:ind w:firstLine="480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eastAsia="zh-CN"/>
        </w:rPr>
        <w:t>一季度</w:t>
      </w:r>
      <w:r>
        <w:rPr>
          <w:rFonts w:hint="eastAsia"/>
        </w:rPr>
        <w:t>山西科学技术出版社</w:t>
      </w:r>
      <w:r>
        <w:rPr>
          <w:rFonts w:hint="eastAsia"/>
          <w:lang w:eastAsia="zh-CN"/>
        </w:rPr>
        <w:t>有限责任公司</w:t>
      </w:r>
      <w:r>
        <w:rPr>
          <w:rFonts w:hint="eastAsia"/>
        </w:rPr>
        <w:t>主要会计数据和财务指标如下：</w:t>
      </w:r>
    </w:p>
    <w:tbl>
      <w:tblPr>
        <w:tblStyle w:val="7"/>
        <w:tblW w:w="8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项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期末余额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9503.29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9329.29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应收账款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357.01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154.38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-56.76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存货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866.11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1051.36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283.43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279.87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192.85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181.23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应付账款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9.23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9.23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应交税费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21.17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-2.31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所有者权益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9310.44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9148.06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-1.74</w:t>
            </w:r>
          </w:p>
        </w:tc>
      </w:tr>
    </w:tbl>
    <w:p>
      <w:pPr>
        <w:ind w:firstLine="480"/>
        <w:rPr>
          <w:rFonts w:ascii="宋体"/>
          <w:szCs w:val="24"/>
        </w:rPr>
      </w:pPr>
    </w:p>
    <w:tbl>
      <w:tblPr>
        <w:tblStyle w:val="7"/>
        <w:tblW w:w="8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项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累积完成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(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203.91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269.43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销售费用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20.79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237.89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-91.26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管理费用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153.08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108.92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-0.01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-0.07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-162.38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-143.84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-162.38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-143.84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-12.89</w:t>
            </w:r>
          </w:p>
        </w:tc>
      </w:tr>
    </w:tbl>
    <w:p>
      <w:pPr>
        <w:pStyle w:val="3"/>
        <w:spacing w:before="312" w:after="156"/>
        <w:ind w:firstLine="643"/>
      </w:pPr>
      <w:r>
        <w:rPr>
          <w:rFonts w:hint="eastAsia"/>
        </w:rPr>
        <w:t>三、出资情况</w:t>
      </w:r>
    </w:p>
    <w:p>
      <w:pPr>
        <w:spacing w:line="360" w:lineRule="auto"/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出资人名称：山西出版传媒集团有限责任公司</w:t>
      </w:r>
    </w:p>
    <w:p>
      <w:pPr>
        <w:spacing w:line="360" w:lineRule="auto"/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出资比例：</w:t>
      </w:r>
      <w:r>
        <w:rPr>
          <w:rFonts w:ascii="宋体" w:hAnsi="宋体"/>
          <w:szCs w:val="24"/>
        </w:rPr>
        <w:t>100%</w:t>
      </w:r>
    </w:p>
    <w:p>
      <w:pPr>
        <w:spacing w:line="360" w:lineRule="auto"/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注册资本：2000万元</w:t>
      </w:r>
    </w:p>
    <w:p>
      <w:pPr>
        <w:spacing w:line="360" w:lineRule="auto"/>
        <w:ind w:left="1519" w:leftChars="183" w:hanging="1080" w:hangingChars="45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出资方式：山西出版传媒集团有限责任公司</w:t>
      </w:r>
      <w:r>
        <w:rPr>
          <w:rFonts w:ascii="宋体" w:hAnsi="宋体"/>
          <w:szCs w:val="24"/>
        </w:rPr>
        <w:t>2007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</w:rPr>
        <w:t>4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>28</w:t>
      </w:r>
      <w:r>
        <w:rPr>
          <w:rFonts w:hint="eastAsia" w:ascii="宋体" w:hAnsi="宋体"/>
          <w:szCs w:val="24"/>
        </w:rPr>
        <w:t>日实缴150万元作为注册资本，2019年1月未分配利润转增注册资本，达到2000万元。</w:t>
      </w:r>
    </w:p>
    <w:p>
      <w:pPr>
        <w:spacing w:line="360" w:lineRule="auto"/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出资时间：</w:t>
      </w:r>
      <w:r>
        <w:rPr>
          <w:rFonts w:ascii="宋体" w:hAnsi="宋体"/>
          <w:szCs w:val="24"/>
        </w:rPr>
        <w:t>20</w:t>
      </w:r>
      <w:r>
        <w:rPr>
          <w:rFonts w:hint="eastAsia" w:ascii="宋体" w:hAnsi="宋体"/>
          <w:szCs w:val="24"/>
        </w:rPr>
        <w:t>19年1月1日</w:t>
      </w:r>
    </w:p>
    <w:p>
      <w:pPr>
        <w:pStyle w:val="3"/>
        <w:spacing w:before="312" w:after="156"/>
        <w:ind w:firstLine="643"/>
      </w:pPr>
      <w:r>
        <w:rPr>
          <w:rFonts w:hint="eastAsia"/>
        </w:rPr>
        <w:t>四、财务预算执行情况</w:t>
      </w:r>
    </w:p>
    <w:p>
      <w:pPr>
        <w:ind w:firstLine="480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eastAsia="zh-CN"/>
        </w:rPr>
        <w:t>一季度</w:t>
      </w:r>
      <w:r>
        <w:rPr>
          <w:rFonts w:hint="eastAsia"/>
        </w:rPr>
        <w:t>实现营业收入</w:t>
      </w:r>
      <w:r>
        <w:rPr>
          <w:rFonts w:hint="eastAsia"/>
          <w:lang w:val="en-US" w:eastAsia="zh-CN"/>
        </w:rPr>
        <w:t>203.91</w:t>
      </w:r>
      <w:r>
        <w:rPr>
          <w:rFonts w:hint="eastAsia"/>
        </w:rPr>
        <w:t>万元，利润总额</w:t>
      </w:r>
      <w:r>
        <w:rPr>
          <w:rFonts w:hint="eastAsia"/>
          <w:lang w:val="en-US" w:eastAsia="zh-CN"/>
        </w:rPr>
        <w:t>-162.38</w:t>
      </w:r>
      <w:r>
        <w:rPr>
          <w:rFonts w:hint="eastAsia"/>
        </w:rPr>
        <w:t>万元。</w:t>
      </w:r>
    </w:p>
    <w:p>
      <w:pPr>
        <w:pStyle w:val="3"/>
        <w:spacing w:before="312" w:after="156"/>
        <w:ind w:firstLine="643"/>
      </w:pPr>
      <w:r>
        <w:rPr>
          <w:rFonts w:hint="eastAsia"/>
        </w:rPr>
        <w:t>五、财务会计报告摘要</w:t>
      </w:r>
    </w:p>
    <w:p>
      <w:pPr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截止到202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月底，我社总资产达到</w:t>
      </w:r>
      <w:r>
        <w:rPr>
          <w:rFonts w:hint="eastAsia" w:ascii="宋体" w:hAnsi="宋体"/>
          <w:lang w:val="en-US" w:eastAsia="zh-CN"/>
        </w:rPr>
        <w:t>9329.29</w:t>
      </w:r>
      <w:r>
        <w:rPr>
          <w:rFonts w:hint="eastAsia" w:ascii="宋体" w:hAnsi="宋体"/>
        </w:rPr>
        <w:t>万元，其中包括货币资金</w:t>
      </w:r>
      <w:r>
        <w:rPr>
          <w:rFonts w:hint="eastAsia" w:ascii="宋体" w:hAnsi="宋体"/>
          <w:lang w:val="en-US" w:eastAsia="zh-CN"/>
        </w:rPr>
        <w:t>192.7</w:t>
      </w:r>
      <w:r>
        <w:rPr>
          <w:rFonts w:hint="eastAsia" w:ascii="宋体" w:hAnsi="宋体"/>
        </w:rPr>
        <w:t>万元</w:t>
      </w:r>
      <w:r>
        <w:rPr>
          <w:rFonts w:hint="eastAsia" w:ascii="宋体" w:hAnsi="宋体"/>
          <w:lang w:eastAsia="zh-CN"/>
        </w:rPr>
        <w:t>、应收票据</w:t>
      </w:r>
      <w:r>
        <w:rPr>
          <w:rFonts w:hint="eastAsia" w:ascii="宋体" w:hAnsi="宋体"/>
          <w:lang w:val="en-US" w:eastAsia="zh-CN"/>
        </w:rPr>
        <w:t>15.88万元（应收湖北三新有限公司图书销售款，尚未到汇票承兑日期）、</w:t>
      </w:r>
      <w:r>
        <w:rPr>
          <w:rFonts w:hint="eastAsia" w:ascii="宋体" w:hAnsi="宋体"/>
        </w:rPr>
        <w:t>应收账款</w:t>
      </w:r>
      <w:r>
        <w:rPr>
          <w:rFonts w:hint="eastAsia" w:ascii="宋体" w:hAnsi="宋体"/>
          <w:lang w:val="en-US" w:eastAsia="zh-CN"/>
        </w:rPr>
        <w:t>154.38</w:t>
      </w:r>
      <w:r>
        <w:rPr>
          <w:rFonts w:hint="eastAsia" w:ascii="宋体" w:hAnsi="宋体"/>
        </w:rPr>
        <w:t>万元（</w:t>
      </w:r>
      <w:r>
        <w:rPr>
          <w:rFonts w:hint="eastAsia" w:ascii="宋体" w:hAnsi="宋体"/>
          <w:lang w:eastAsia="zh-CN"/>
        </w:rPr>
        <w:t>全部为未收回图书销售款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其他应收款</w:t>
      </w:r>
      <w:r>
        <w:rPr>
          <w:rFonts w:hint="eastAsia" w:ascii="宋体" w:hAnsi="宋体"/>
          <w:lang w:val="en-US" w:eastAsia="zh-CN"/>
        </w:rPr>
        <w:t>7595.21</w:t>
      </w:r>
      <w:r>
        <w:rPr>
          <w:rFonts w:hint="eastAsia" w:ascii="宋体" w:hAnsi="宋体"/>
        </w:rPr>
        <w:t>万元（主要为出版集团内部银行存款）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存货</w:t>
      </w:r>
      <w:r>
        <w:rPr>
          <w:rFonts w:hint="eastAsia" w:ascii="宋体" w:hAnsi="宋体"/>
          <w:lang w:val="en-US" w:eastAsia="zh-CN"/>
        </w:rPr>
        <w:t>1051.36</w:t>
      </w:r>
      <w:r>
        <w:rPr>
          <w:rFonts w:hint="eastAsia" w:ascii="宋体" w:hAnsi="宋体"/>
        </w:rPr>
        <w:t>万元</w:t>
      </w:r>
      <w:r>
        <w:rPr>
          <w:rFonts w:hint="eastAsia" w:ascii="宋体" w:hAnsi="宋体"/>
          <w:lang w:eastAsia="zh-CN"/>
        </w:rPr>
        <w:t>、合同资产</w:t>
      </w:r>
      <w:r>
        <w:rPr>
          <w:rFonts w:hint="eastAsia" w:ascii="宋体" w:hAnsi="宋体"/>
          <w:lang w:val="en-US" w:eastAsia="zh-CN"/>
        </w:rPr>
        <w:t>29.33万元、</w:t>
      </w:r>
      <w:r>
        <w:rPr>
          <w:rFonts w:hint="eastAsia" w:ascii="宋体" w:hAnsi="宋体"/>
        </w:rPr>
        <w:t>固定资产</w:t>
      </w:r>
      <w:r>
        <w:rPr>
          <w:rFonts w:hint="eastAsia" w:ascii="宋体" w:hAnsi="宋体"/>
          <w:lang w:val="en-US" w:eastAsia="zh-CN"/>
        </w:rPr>
        <w:t>279.87</w:t>
      </w:r>
      <w:r>
        <w:rPr>
          <w:rFonts w:hint="eastAsia" w:ascii="宋体" w:hAnsi="宋体"/>
        </w:rPr>
        <w:t>万元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无形资产</w:t>
      </w:r>
      <w:r>
        <w:rPr>
          <w:rFonts w:hint="eastAsia" w:ascii="宋体" w:hAnsi="宋体"/>
          <w:lang w:val="en-US" w:eastAsia="zh-CN"/>
        </w:rPr>
        <w:t>10.56</w:t>
      </w:r>
      <w:r>
        <w:rPr>
          <w:rFonts w:hint="eastAsia" w:ascii="宋体" w:hAnsi="宋体"/>
        </w:rPr>
        <w:t>万元；我社负债总额</w:t>
      </w:r>
      <w:r>
        <w:rPr>
          <w:rFonts w:hint="eastAsia" w:ascii="宋体" w:hAnsi="宋体"/>
          <w:lang w:val="en-US" w:eastAsia="zh-CN"/>
        </w:rPr>
        <w:t>181.23</w:t>
      </w:r>
      <w:r>
        <w:rPr>
          <w:rFonts w:hint="eastAsia" w:ascii="宋体" w:hAnsi="宋体"/>
        </w:rPr>
        <w:t>万元，其中</w:t>
      </w:r>
      <w:r>
        <w:rPr>
          <w:rFonts w:hint="eastAsia" w:ascii="宋体" w:hAnsi="宋体"/>
          <w:lang w:eastAsia="zh-CN"/>
        </w:rPr>
        <w:t>包括</w:t>
      </w:r>
      <w:r>
        <w:rPr>
          <w:rFonts w:hint="eastAsia" w:ascii="宋体" w:hAnsi="宋体"/>
        </w:rPr>
        <w:t>应付账款</w:t>
      </w:r>
      <w:r>
        <w:rPr>
          <w:rFonts w:hint="eastAsia" w:ascii="宋体" w:hAnsi="宋体"/>
          <w:lang w:val="en-US" w:eastAsia="zh-CN"/>
        </w:rPr>
        <w:t>9.23</w:t>
      </w:r>
      <w:r>
        <w:rPr>
          <w:rFonts w:hint="eastAsia" w:ascii="宋体" w:hAnsi="宋体"/>
        </w:rPr>
        <w:t>万元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预收账款</w:t>
      </w:r>
      <w:r>
        <w:rPr>
          <w:rFonts w:hint="eastAsia" w:ascii="宋体" w:hAnsi="宋体"/>
          <w:lang w:val="en-US" w:eastAsia="zh-CN"/>
        </w:rPr>
        <w:t>34.5</w:t>
      </w:r>
      <w:r>
        <w:rPr>
          <w:rFonts w:hint="eastAsia" w:ascii="宋体" w:hAnsi="宋体"/>
        </w:rPr>
        <w:t>万元</w:t>
      </w:r>
      <w:r>
        <w:rPr>
          <w:rFonts w:hint="eastAsia" w:ascii="宋体" w:hAnsi="宋体"/>
          <w:lang w:eastAsia="zh-CN"/>
        </w:rPr>
        <w:t>、合同负债</w:t>
      </w:r>
      <w:r>
        <w:rPr>
          <w:rFonts w:hint="eastAsia" w:ascii="宋体" w:hAnsi="宋体"/>
          <w:lang w:val="en-US" w:eastAsia="zh-CN"/>
        </w:rPr>
        <w:t>103.04万元、</w:t>
      </w:r>
      <w:r>
        <w:rPr>
          <w:rFonts w:hint="eastAsia" w:ascii="宋体" w:hAnsi="宋体"/>
        </w:rPr>
        <w:t>其他应付款</w:t>
      </w:r>
      <w:r>
        <w:rPr>
          <w:rFonts w:hint="eastAsia" w:ascii="宋体" w:hAnsi="宋体"/>
          <w:lang w:val="en-US" w:eastAsia="zh-CN"/>
        </w:rPr>
        <w:t>52.17</w:t>
      </w:r>
      <w:r>
        <w:rPr>
          <w:rFonts w:hint="eastAsia" w:ascii="宋体" w:hAnsi="宋体"/>
        </w:rPr>
        <w:t>万元；所有者权益为</w:t>
      </w:r>
      <w:r>
        <w:rPr>
          <w:rFonts w:hint="eastAsia" w:ascii="宋体" w:hAnsi="宋体"/>
          <w:lang w:val="en-US" w:eastAsia="zh-CN"/>
        </w:rPr>
        <w:t>9148.06</w:t>
      </w:r>
      <w:r>
        <w:rPr>
          <w:rFonts w:hint="eastAsia" w:ascii="宋体" w:hAnsi="宋体"/>
        </w:rPr>
        <w:t>万元，其中实收资本2000万元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资本公积55.25万元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盈余公积</w:t>
      </w:r>
      <w:r>
        <w:rPr>
          <w:rFonts w:hint="eastAsia" w:ascii="宋体" w:hAnsi="宋体"/>
          <w:lang w:val="en-US" w:eastAsia="zh-CN"/>
        </w:rPr>
        <w:t>1427.86</w:t>
      </w:r>
      <w:r>
        <w:rPr>
          <w:rFonts w:hint="eastAsia" w:ascii="宋体" w:hAnsi="宋体"/>
        </w:rPr>
        <w:t>万元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未分配利润</w:t>
      </w:r>
      <w:r>
        <w:rPr>
          <w:rFonts w:hint="eastAsia" w:ascii="宋体" w:hAnsi="宋体"/>
          <w:lang w:val="en-US" w:eastAsia="zh-CN"/>
        </w:rPr>
        <w:t>5664.95</w:t>
      </w:r>
      <w:r>
        <w:rPr>
          <w:rFonts w:hint="eastAsia" w:ascii="宋体" w:hAnsi="宋体"/>
        </w:rPr>
        <w:t>万元。我社资产负债率为</w:t>
      </w:r>
      <w:r>
        <w:rPr>
          <w:rFonts w:hint="eastAsia" w:ascii="宋体" w:hAnsi="宋体"/>
          <w:lang w:val="en-US" w:eastAsia="zh-CN"/>
        </w:rPr>
        <w:t>1.94</w:t>
      </w:r>
      <w:r>
        <w:rPr>
          <w:rFonts w:hint="eastAsia" w:ascii="宋体" w:hAnsi="宋体"/>
        </w:rPr>
        <w:t>%，可以看出我社资产结构位于较好水平，有足够应付风险的能力。</w:t>
      </w:r>
    </w:p>
    <w:p>
      <w:pPr>
        <w:ind w:firstLine="480"/>
        <w:rPr>
          <w:rFonts w:ascii="宋体" w:hAnsi="宋体"/>
        </w:rPr>
      </w:pPr>
      <w:r>
        <w:rPr>
          <w:rFonts w:hint="eastAsia" w:ascii="宋体" w:hAnsi="宋体"/>
        </w:rPr>
        <w:t>我社202</w:t>
      </w:r>
      <w:r>
        <w:rPr>
          <w:rFonts w:hint="eastAsia" w:ascii="宋体" w:hAnsi="宋体"/>
          <w:lang w:val="en-US" w:eastAsia="zh-CN"/>
        </w:rPr>
        <w:t>2年一季度</w:t>
      </w:r>
      <w:r>
        <w:rPr>
          <w:rFonts w:hint="eastAsia" w:ascii="宋体" w:hAnsi="宋体"/>
        </w:rPr>
        <w:t>营业收入与去年同期相比下降</w:t>
      </w:r>
      <w:r>
        <w:rPr>
          <w:rFonts w:hint="eastAsia" w:ascii="宋体" w:hAnsi="宋体"/>
          <w:lang w:eastAsia="zh-CN"/>
        </w:rPr>
        <w:t>了</w:t>
      </w:r>
      <w:r>
        <w:rPr>
          <w:rFonts w:hint="eastAsia" w:ascii="宋体" w:hAnsi="宋体"/>
          <w:lang w:val="en-US" w:eastAsia="zh-CN"/>
        </w:rPr>
        <w:t>24.32%</w:t>
      </w:r>
      <w:r>
        <w:rPr>
          <w:rFonts w:hint="eastAsia" w:ascii="宋体" w:hAnsi="宋体"/>
        </w:rPr>
        <w:t>，具体</w:t>
      </w:r>
      <w:r>
        <w:rPr>
          <w:rFonts w:hint="eastAsia" w:ascii="宋体" w:hAnsi="宋体"/>
          <w:lang w:eastAsia="zh-CN"/>
        </w:rPr>
        <w:t>情况</w:t>
      </w:r>
      <w:r>
        <w:rPr>
          <w:rFonts w:hint="eastAsia" w:ascii="宋体" w:hAnsi="宋体"/>
        </w:rPr>
        <w:t>分析如下：</w:t>
      </w:r>
    </w:p>
    <w:p>
      <w:pPr>
        <w:widowControl/>
        <w:spacing w:line="360" w:lineRule="auto"/>
        <w:ind w:firstLine="560"/>
        <w:rPr>
          <w:rFonts w:hint="eastAsia" w:ascii="宋体" w:hAnsi="宋体"/>
        </w:rPr>
      </w:pPr>
      <w:r>
        <w:rPr>
          <w:rFonts w:hint="eastAsia" w:ascii="宋体" w:hAnsi="宋体" w:eastAsia="宋体"/>
          <w:lang w:val="en-US" w:eastAsia="zh-CN"/>
        </w:rPr>
        <w:t>1、我社2022年一季度营业总收入为203.91万元，较去年同期相比下降了24.32%。主要是由于在市场波动以及疫情的影响下，一般图书的销售略有下降。对此，我社发行人员将积极应对，与优质线上销售商合作，争取提高我社图书销售水平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2022年一季度营业成本为188.58万元，比去年同期的65.89万元增长了186.2%，主要是因为我社去年将图书运输成本计入销售费用，根据新会计准则的要求，今年将图书运输成本全部计入营业成本。2022年一季度三项期间费用总额为173.86万元，相比去年同期的346.74万元下降了49.86%。其中，销售费用20.79万元，比去年同期的237.89万元减少217.1万元，下降了91.26%，主要是由于我社</w:t>
      </w:r>
      <w:bookmarkStart w:id="0" w:name="_GoBack"/>
      <w:bookmarkEnd w:id="0"/>
      <w:r>
        <w:rPr>
          <w:rFonts w:hint="eastAsia" w:ascii="宋体" w:hAnsi="宋体" w:eastAsia="宋体"/>
          <w:lang w:val="en-US" w:eastAsia="zh-CN"/>
        </w:rPr>
        <w:t>去年确认了图书宣传推广费，今年未发生该项支出，另外，</w:t>
      </w:r>
      <w:r>
        <w:rPr>
          <w:rFonts w:hint="eastAsia" w:ascii="宋体" w:hAnsi="宋体" w:eastAsia="宋体"/>
          <w:lang w:val="en-US" w:eastAsia="zh-CN"/>
        </w:rPr>
        <w:t>我社去年将图书运输成本计入销售费用，根据新会计准则的要求，今年将图书运输成本计入营业成本；管理费用153.08万元，比去年同期的108.92万元增加44.16万元，增长了40.54%，主要是由于我社为解决办公环境紧张问题，办公区域租赁支出金额较大。</w:t>
      </w:r>
    </w:p>
    <w:p>
      <w:pPr>
        <w:widowControl/>
        <w:spacing w:line="360" w:lineRule="auto"/>
        <w:ind w:firstLine="56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3、我社2022年一季度利润总额为-162.38万元，比去年同期的-143.84万元相比下降12.89%，在以后的工作中，我们将努力提升我社的销售业绩，严控成本和费用，争取完成利润考核任务。</w:t>
      </w:r>
    </w:p>
    <w:p>
      <w:pPr>
        <w:pStyle w:val="3"/>
        <w:spacing w:before="312" w:after="156"/>
        <w:ind w:firstLine="643"/>
      </w:pPr>
      <w:r>
        <w:rPr>
          <w:rFonts w:hint="eastAsia"/>
        </w:rPr>
        <w:t>六、环境保护情况</w:t>
      </w:r>
    </w:p>
    <w:p>
      <w:pPr>
        <w:ind w:firstLine="480"/>
        <w:rPr>
          <w:rFonts w:hint="eastAsia"/>
        </w:rPr>
      </w:pPr>
      <w:r>
        <w:rPr>
          <w:rFonts w:hint="eastAsia"/>
        </w:rPr>
        <w:t>山西科学技术出版社</w:t>
      </w:r>
      <w:r>
        <w:rPr>
          <w:rFonts w:hint="eastAsia"/>
          <w:lang w:eastAsia="zh-CN"/>
        </w:rPr>
        <w:t>有限责任公司</w:t>
      </w:r>
      <w:r>
        <w:rPr>
          <w:rFonts w:hint="eastAsia"/>
        </w:rPr>
        <w:t>出版、发行所涉行业不涉及环境保护问题。</w:t>
      </w:r>
    </w:p>
    <w:p>
      <w:pPr>
        <w:ind w:firstLine="48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ind w:firstLine="480"/>
        <w:jc w:val="center"/>
        <w:rPr>
          <w:rFonts w:hint="eastAsia"/>
          <w:lang w:val="en-US" w:eastAsia="zh-CN"/>
        </w:rPr>
      </w:pPr>
    </w:p>
    <w:p>
      <w:pPr>
        <w:ind w:firstLine="48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2022年4月19日</w:t>
      </w:r>
    </w:p>
    <w:p>
      <w:pPr>
        <w:ind w:firstLine="48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山西科学技术出版社有限责任公司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22F"/>
    <w:rsid w:val="00162A47"/>
    <w:rsid w:val="003040E8"/>
    <w:rsid w:val="003A219D"/>
    <w:rsid w:val="005F4708"/>
    <w:rsid w:val="006039C5"/>
    <w:rsid w:val="00687E3B"/>
    <w:rsid w:val="00690CA6"/>
    <w:rsid w:val="008B29D4"/>
    <w:rsid w:val="009C4EDE"/>
    <w:rsid w:val="009E3962"/>
    <w:rsid w:val="00AB522F"/>
    <w:rsid w:val="00AF74E4"/>
    <w:rsid w:val="00B53AB6"/>
    <w:rsid w:val="00C12C9A"/>
    <w:rsid w:val="00C51A79"/>
    <w:rsid w:val="00C55B29"/>
    <w:rsid w:val="00CD3657"/>
    <w:rsid w:val="00F5644A"/>
    <w:rsid w:val="06E15AD0"/>
    <w:rsid w:val="0F613D22"/>
    <w:rsid w:val="25EE6A14"/>
    <w:rsid w:val="4EC72591"/>
    <w:rsid w:val="6B511C40"/>
    <w:rsid w:val="711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beforeLines="100" w:afterLines="50"/>
      <w:jc w:val="left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9">
    <w:name w:val="标题 2 Char"/>
    <w:basedOn w:val="6"/>
    <w:link w:val="3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1972</Words>
  <Characters>2579</Characters>
  <Lines>17</Lines>
  <Paragraphs>4</Paragraphs>
  <TotalTime>0</TotalTime>
  <ScaleCrop>false</ScaleCrop>
  <LinksUpToDate>false</LinksUpToDate>
  <CharactersWithSpaces>2591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2019-07-03T02:33:00Z</dcterms:created>
  <dc:creator>admin</dc:creator>
  <cp:lastModifiedBy>Administrator</cp:lastModifiedBy>
  <dcterms:modified xsi:type="dcterms:W3CDTF">2022-04-20T02:51:19Z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A023E86719374999905F48A9CDAA9401</vt:lpwstr>
  </property>
</Properties>
</file>